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9" w:rsidRPr="00DA20B1" w:rsidRDefault="00FF4A58" w:rsidP="00DA20B1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Делайте свои </w:t>
      </w:r>
      <w:r w:rsidR="0059271A">
        <w:rPr>
          <w:b/>
          <w:sz w:val="32"/>
          <w:szCs w:val="32"/>
        </w:rPr>
        <w:t>диаграмм</w:t>
      </w:r>
      <w:r>
        <w:rPr>
          <w:b/>
          <w:sz w:val="32"/>
          <w:szCs w:val="32"/>
        </w:rPr>
        <w:t>ы еще лучше!</w:t>
      </w:r>
    </w:p>
    <w:p w:rsidR="002B2589" w:rsidRPr="003005FF" w:rsidRDefault="00553782" w:rsidP="00DA20B1">
      <w:pPr>
        <w:spacing w:before="60" w:after="240"/>
        <w:rPr>
          <w:i/>
        </w:rPr>
      </w:pPr>
      <w:r>
        <w:rPr>
          <w:i/>
        </w:rPr>
        <w:t>Сергей Багузин</w:t>
      </w:r>
    </w:p>
    <w:p w:rsidR="001E1404" w:rsidRDefault="0059271A" w:rsidP="0059271A">
      <w:pPr>
        <w:spacing w:after="120"/>
      </w:pPr>
      <w:r>
        <w:t xml:space="preserve">Многие из нас любят использовать диаграммы в своих документах. Диаграммы позволяют быстро и наглядно передать большой объем информации. Диаграммы задействуют работу </w:t>
      </w:r>
      <w:hyperlink r:id="rId8" w:history="1">
        <w:r w:rsidRPr="000F587A">
          <w:rPr>
            <w:rStyle w:val="a3"/>
          </w:rPr>
          <w:t>правого полушария мозга</w:t>
        </w:r>
      </w:hyperlink>
      <w:r>
        <w:t xml:space="preserve"> </w:t>
      </w:r>
      <w:r w:rsidR="000F587A">
        <w:t>(а</w:t>
      </w:r>
      <w:r>
        <w:t>, как известно, информация лучше усваивается, если в ее восприятие участвуют оба полушария</w:t>
      </w:r>
      <w:r w:rsidR="000F587A">
        <w:t>)</w:t>
      </w:r>
      <w:r>
        <w:t>:</w:t>
      </w:r>
    </w:p>
    <w:tbl>
      <w:tblPr>
        <w:tblW w:w="9670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7"/>
        <w:gridCol w:w="4253"/>
      </w:tblGrid>
      <w:tr w:rsidR="0059271A" w:rsidRPr="0059271A" w:rsidTr="00917E49">
        <w:trPr>
          <w:tblCellSpacing w:w="0" w:type="dxa"/>
          <w:jc w:val="center"/>
        </w:trPr>
        <w:tc>
          <w:tcPr>
            <w:tcW w:w="9670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:rsidR="0059271A" w:rsidRPr="0059271A" w:rsidRDefault="0059271A" w:rsidP="0059271A">
            <w:pPr>
              <w:jc w:val="center"/>
              <w:rPr>
                <w:rFonts w:eastAsia="Times New Roman"/>
                <w:color w:val="000000"/>
              </w:rPr>
            </w:pPr>
            <w:r w:rsidRPr="0059271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Сферы специализации левого и правого полушарий головного мозга </w:t>
            </w:r>
          </w:p>
        </w:tc>
      </w:tr>
      <w:tr w:rsidR="0059271A" w:rsidRPr="0059271A" w:rsidTr="000F587A">
        <w:trPr>
          <w:tblCellSpacing w:w="0" w:type="dxa"/>
          <w:jc w:val="center"/>
        </w:trPr>
        <w:tc>
          <w:tcPr>
            <w:tcW w:w="541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:rsidR="0059271A" w:rsidRPr="0059271A" w:rsidRDefault="0059271A" w:rsidP="0059271A">
            <w:pPr>
              <w:jc w:val="center"/>
              <w:rPr>
                <w:rFonts w:eastAsia="Times New Roman"/>
                <w:color w:val="000000"/>
              </w:rPr>
            </w:pPr>
            <w:r w:rsidRPr="0059271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Левое полушарие </w:t>
            </w:r>
          </w:p>
        </w:tc>
        <w:tc>
          <w:tcPr>
            <w:tcW w:w="42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:rsidR="0059271A" w:rsidRPr="0059271A" w:rsidRDefault="0059271A" w:rsidP="0059271A">
            <w:pPr>
              <w:jc w:val="center"/>
              <w:rPr>
                <w:rFonts w:eastAsia="Times New Roman"/>
                <w:color w:val="000000"/>
              </w:rPr>
            </w:pPr>
            <w:r w:rsidRPr="0059271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Правое полушарие </w:t>
            </w:r>
          </w:p>
        </w:tc>
      </w:tr>
      <w:tr w:rsidR="0059271A" w:rsidRPr="0059271A" w:rsidTr="000F587A">
        <w:trPr>
          <w:tblCellSpacing w:w="0" w:type="dxa"/>
          <w:jc w:val="center"/>
        </w:trPr>
        <w:tc>
          <w:tcPr>
            <w:tcW w:w="541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9271A" w:rsidRPr="0059271A" w:rsidRDefault="0059271A" w:rsidP="000F587A">
            <w:pPr>
              <w:rPr>
                <w:rFonts w:eastAsia="Times New Roman"/>
                <w:color w:val="000000"/>
              </w:rPr>
            </w:pPr>
            <w:r w:rsidRPr="0059271A">
              <w:rPr>
                <w:rFonts w:eastAsia="Times New Roman"/>
                <w:b/>
                <w:bCs/>
                <w:i/>
                <w:iCs/>
                <w:color w:val="000000"/>
              </w:rPr>
              <w:t>Обработка вербальной информации:</w:t>
            </w:r>
            <w:r w:rsidR="000F587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59271A">
              <w:rPr>
                <w:rFonts w:eastAsia="Times New Roman"/>
                <w:color w:val="000000"/>
              </w:rPr>
              <w:t xml:space="preserve">Левое полушарие мозга отвечает за языковые способности. Это полушарие контролирует речь, а также способности к чтению и письму. Оно также запоминает факты, имена, даты и их написание. </w:t>
            </w:r>
          </w:p>
        </w:tc>
        <w:tc>
          <w:tcPr>
            <w:tcW w:w="425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9271A" w:rsidRPr="0059271A" w:rsidRDefault="0059271A" w:rsidP="000F587A">
            <w:pPr>
              <w:rPr>
                <w:rFonts w:eastAsia="Times New Roman"/>
                <w:color w:val="000000"/>
              </w:rPr>
            </w:pPr>
            <w:r w:rsidRPr="0059271A">
              <w:rPr>
                <w:rFonts w:eastAsia="Times New Roman"/>
                <w:b/>
                <w:bCs/>
                <w:i/>
                <w:iCs/>
                <w:color w:val="000000"/>
              </w:rPr>
              <w:t>Обработка невербальной информации:</w:t>
            </w:r>
            <w:r w:rsidR="000F587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59271A">
              <w:rPr>
                <w:rFonts w:eastAsia="Times New Roman"/>
                <w:color w:val="000000"/>
              </w:rPr>
              <w:t xml:space="preserve">Правое полушарие специализируется на обработке информации, которая выражается не в словах, а в символах и образах. </w:t>
            </w:r>
          </w:p>
        </w:tc>
      </w:tr>
    </w:tbl>
    <w:p w:rsidR="000F587A" w:rsidRDefault="000F587A" w:rsidP="000F587A">
      <w:pPr>
        <w:spacing w:before="120" w:after="120"/>
      </w:pPr>
      <w:r>
        <w:t xml:space="preserve">При этом мы считаем, что хорошо освоили </w:t>
      </w:r>
      <w:r>
        <w:rPr>
          <w:lang w:val="en-US"/>
        </w:rPr>
        <w:t>Excel</w:t>
      </w:r>
      <w:r>
        <w:t xml:space="preserve">, и вполне способны создавать качественные и информативные диаграммы. </w:t>
      </w:r>
      <w:r w:rsidR="00FF4A58">
        <w:t>Я сам так считал!.. Однако знакомство с книгой Д. Желязны «Говори на языке диаграмм», как всегда подтвердило избитую истину: «Нет предела совершенству</w:t>
      </w:r>
      <w:r w:rsidR="008C2255">
        <w:t>!</w:t>
      </w:r>
      <w:r w:rsidR="00FF4A58">
        <w:t>». Джин Желязны работает (может быть работал?) директором по визуальным коммуникациям McKinsey&amp;Company. Можете себе представить, какую важность придают в McKinsey этому вопросу, если существует такая должность!?</w:t>
      </w:r>
    </w:p>
    <w:p w:rsidR="00FF4A58" w:rsidRDefault="00FF4A58" w:rsidP="00D05744">
      <w:pPr>
        <w:spacing w:before="180"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83185</wp:posOffset>
            </wp:positionV>
            <wp:extent cx="1906270" cy="2781300"/>
            <wp:effectExtent l="38100" t="19050" r="17780" b="19050"/>
            <wp:wrapTight wrapText="bothSides">
              <wp:wrapPolygon edited="0">
                <wp:start x="-432" y="-148"/>
                <wp:lineTo x="-432" y="21748"/>
                <wp:lineTo x="21801" y="21748"/>
                <wp:lineTo x="21801" y="-148"/>
                <wp:lineTo x="-432" y="-148"/>
              </wp:wrapPolygon>
            </wp:wrapTight>
            <wp:docPr id="2" name="Рисунок 1" descr="Джин Желязны Говори на языке диаграмм Say It With Chart">
              <a:hlinkClick xmlns:a="http://schemas.openxmlformats.org/drawingml/2006/main" r:id="rId9" tooltip="&quot;Джин Желязны Говори на языке диаграмм Say It With Ch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ин Желязны Говори на языке диаграмм Say It With Chart">
                      <a:hlinkClick r:id="rId9" tooltip="&quot;Джин Желязны Говори на языке диаграмм Say It With Ch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7813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Итак, рекомендую: </w:t>
      </w:r>
      <w:r w:rsidR="008C2255">
        <w:br/>
      </w:r>
      <w:r>
        <w:t xml:space="preserve">Джин Желязны </w:t>
      </w:r>
      <w:r w:rsidR="008C2255">
        <w:br/>
      </w:r>
      <w:r>
        <w:t xml:space="preserve">«Говори на языке диаграмм» </w:t>
      </w:r>
      <w:r w:rsidR="008C2255">
        <w:br/>
      </w:r>
      <w:r>
        <w:t>(</w:t>
      </w:r>
      <w:r w:rsidRPr="00FF4A58">
        <w:rPr>
          <w:lang w:val="en-US"/>
        </w:rPr>
        <w:t>Say</w:t>
      </w:r>
      <w:r w:rsidRPr="00FF4A58">
        <w:t xml:space="preserve"> </w:t>
      </w:r>
      <w:r w:rsidRPr="00FF4A58">
        <w:rPr>
          <w:lang w:val="en-US"/>
        </w:rPr>
        <w:t>It</w:t>
      </w:r>
      <w:r w:rsidRPr="00FF4A58">
        <w:t xml:space="preserve"> </w:t>
      </w:r>
      <w:r w:rsidRPr="00FF4A58">
        <w:rPr>
          <w:lang w:val="en-US"/>
        </w:rPr>
        <w:t>With</w:t>
      </w:r>
      <w:r w:rsidRPr="00FF4A58">
        <w:t xml:space="preserve"> </w:t>
      </w:r>
      <w:r w:rsidRPr="00FF4A58">
        <w:rPr>
          <w:lang w:val="en-US"/>
        </w:rPr>
        <w:t>Chart</w:t>
      </w:r>
      <w:r>
        <w:t>)</w:t>
      </w:r>
      <w:r>
        <w:br/>
        <w:t>Издательство: Манн, Иванов и Фербер, 2007 г.</w:t>
      </w:r>
      <w:r w:rsidR="008C2255">
        <w:t xml:space="preserve">, </w:t>
      </w:r>
      <w:r>
        <w:t>320 стр.</w:t>
      </w: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FF4A58">
      <w:pPr>
        <w:spacing w:before="120" w:after="120"/>
      </w:pPr>
    </w:p>
    <w:p w:rsidR="00FF4A58" w:rsidRDefault="00FF4A58" w:rsidP="00D05744">
      <w:pPr>
        <w:spacing w:before="120"/>
      </w:pPr>
      <w:r>
        <w:t>Из этой книги я вынес два основных урока:</w:t>
      </w:r>
    </w:p>
    <w:p w:rsidR="00FF4A58" w:rsidRPr="00FF4A58" w:rsidRDefault="00FF4A58" w:rsidP="00FF4A58">
      <w:pPr>
        <w:spacing w:before="240" w:after="120"/>
        <w:rPr>
          <w:sz w:val="22"/>
        </w:rPr>
      </w:pPr>
      <w:r>
        <w:rPr>
          <w:b/>
          <w:sz w:val="28"/>
          <w:szCs w:val="32"/>
        </w:rPr>
        <w:t>Выбирайте правильный тип диаграммы</w:t>
      </w:r>
    </w:p>
    <w:p w:rsidR="00400FA4" w:rsidRDefault="00400FA4" w:rsidP="00400FA4">
      <w:pPr>
        <w:pStyle w:val="a5"/>
        <w:spacing w:before="0" w:beforeAutospacing="0" w:after="120" w:afterAutospacing="0"/>
      </w:pPr>
      <w:r>
        <w:rPr>
          <w:b/>
          <w:bCs/>
          <w:i/>
          <w:iCs/>
          <w:sz w:val="20"/>
          <w:szCs w:val="20"/>
        </w:rPr>
        <w:t xml:space="preserve">Шаг 1: </w:t>
      </w:r>
      <w:r w:rsidR="00916F5C">
        <w:rPr>
          <w:b/>
          <w:bCs/>
          <w:sz w:val="20"/>
          <w:szCs w:val="20"/>
        </w:rPr>
        <w:t>СФ</w:t>
      </w:r>
      <w:r>
        <w:rPr>
          <w:b/>
          <w:bCs/>
          <w:sz w:val="20"/>
          <w:szCs w:val="20"/>
        </w:rPr>
        <w:t>ОРМУЛИР</w:t>
      </w:r>
      <w:r w:rsidR="00916F5C">
        <w:rPr>
          <w:b/>
          <w:bCs/>
          <w:sz w:val="20"/>
          <w:szCs w:val="20"/>
        </w:rPr>
        <w:t>УЙТЕ</w:t>
      </w:r>
      <w:r>
        <w:rPr>
          <w:b/>
          <w:bCs/>
          <w:sz w:val="20"/>
          <w:szCs w:val="20"/>
        </w:rPr>
        <w:t xml:space="preserve"> ИДЕ</w:t>
      </w:r>
      <w:r w:rsidR="00916F5C">
        <w:rPr>
          <w:b/>
          <w:bCs/>
          <w:sz w:val="20"/>
          <w:szCs w:val="20"/>
        </w:rPr>
        <w:t>Ю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</w:rPr>
        <w:t>(от данных к идее)</w:t>
      </w:r>
      <w:r>
        <w:t>. Для того, чтобы пр</w:t>
      </w:r>
      <w:r w:rsidR="002556E2">
        <w:t>авильно выбрать тип диаграммы,</w:t>
      </w:r>
      <w:r>
        <w:t xml:space="preserve"> в первую очередь четко</w:t>
      </w:r>
      <w:r w:rsidR="002556E2">
        <w:t xml:space="preserve"> сформулируйте</w:t>
      </w:r>
      <w:r>
        <w:t xml:space="preserve"> идею, которую вы хотите донести до аудитории при помощи диаграммы.</w:t>
      </w:r>
    </w:p>
    <w:p w:rsidR="00400FA4" w:rsidRDefault="00400FA4" w:rsidP="00400FA4">
      <w:pPr>
        <w:pStyle w:val="a5"/>
        <w:spacing w:before="0" w:beforeAutospacing="0" w:after="120" w:afterAutospacing="0"/>
      </w:pPr>
      <w:r>
        <w:rPr>
          <w:b/>
          <w:bCs/>
          <w:i/>
          <w:iCs/>
          <w:sz w:val="20"/>
          <w:szCs w:val="20"/>
        </w:rPr>
        <w:t xml:space="preserve">Шаг 2: </w:t>
      </w:r>
      <w:r>
        <w:rPr>
          <w:b/>
          <w:bCs/>
          <w:sz w:val="20"/>
          <w:szCs w:val="20"/>
        </w:rPr>
        <w:t>ОПРЕДЕЛИ</w:t>
      </w:r>
      <w:r w:rsidR="00916F5C">
        <w:rPr>
          <w:b/>
          <w:bCs/>
          <w:sz w:val="20"/>
          <w:szCs w:val="20"/>
        </w:rPr>
        <w:t>ТЕ</w:t>
      </w:r>
      <w:r>
        <w:rPr>
          <w:b/>
          <w:bCs/>
          <w:sz w:val="20"/>
          <w:szCs w:val="20"/>
        </w:rPr>
        <w:t xml:space="preserve"> ТИП СРАВНЕНИЯ ДАННЫХ </w:t>
      </w:r>
      <w:r>
        <w:rPr>
          <w:i/>
          <w:iCs/>
        </w:rPr>
        <w:t>(от идеи к сравнению)</w:t>
      </w:r>
      <w:r>
        <w:t>. Ваша идея будет основана на одном из пяти основных типов сравнения данных: покомпонентном, позиционном, временн</w:t>
      </w:r>
      <w:r w:rsidR="003F08AE">
        <w:t>ó</w:t>
      </w:r>
      <w:r>
        <w:t>м, частотном или корреляционном.</w:t>
      </w:r>
    </w:p>
    <w:p w:rsidR="00400FA4" w:rsidRDefault="00400FA4" w:rsidP="00400FA4">
      <w:pPr>
        <w:pStyle w:val="a5"/>
        <w:spacing w:before="0" w:beforeAutospacing="0" w:after="120" w:afterAutospacing="0"/>
      </w:pPr>
      <w:r>
        <w:rPr>
          <w:b/>
          <w:bCs/>
          <w:i/>
          <w:iCs/>
          <w:sz w:val="20"/>
          <w:szCs w:val="20"/>
        </w:rPr>
        <w:t xml:space="preserve">Шаг 3: </w:t>
      </w:r>
      <w:r>
        <w:rPr>
          <w:b/>
          <w:bCs/>
          <w:sz w:val="20"/>
          <w:szCs w:val="20"/>
        </w:rPr>
        <w:t>ВЫБ</w:t>
      </w:r>
      <w:r w:rsidR="00916F5C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>Р</w:t>
      </w:r>
      <w:r w:rsidR="00916F5C">
        <w:rPr>
          <w:b/>
          <w:bCs/>
          <w:sz w:val="20"/>
          <w:szCs w:val="20"/>
        </w:rPr>
        <w:t>ИТЕ</w:t>
      </w:r>
      <w:r>
        <w:rPr>
          <w:b/>
          <w:bCs/>
          <w:sz w:val="20"/>
          <w:szCs w:val="20"/>
        </w:rPr>
        <w:t xml:space="preserve"> ТИП ДИАГРАММЫ </w:t>
      </w:r>
      <w:r>
        <w:rPr>
          <w:i/>
          <w:iCs/>
        </w:rPr>
        <w:t>(от сравнения к диаграмме)</w:t>
      </w:r>
      <w:r>
        <w:t xml:space="preserve">. Каждому типу сравнения соответствует </w:t>
      </w:r>
      <w:r w:rsidR="002556E2">
        <w:t>свой</w:t>
      </w:r>
      <w:r>
        <w:t xml:space="preserve"> </w:t>
      </w:r>
      <w:r w:rsidR="003F08AE">
        <w:t>тип</w:t>
      </w:r>
      <w:r>
        <w:t xml:space="preserve"> диаграмм</w:t>
      </w:r>
      <w:r w:rsidR="002556E2">
        <w:t>ы</w:t>
      </w:r>
      <w:r>
        <w:t>.</w:t>
      </w:r>
    </w:p>
    <w:p w:rsidR="00703461" w:rsidRDefault="00703461" w:rsidP="00400FA4">
      <w:pPr>
        <w:pStyle w:val="a5"/>
        <w:spacing w:before="0" w:beforeAutospacing="0" w:after="120" w:afterAutospacing="0"/>
      </w:pPr>
      <w:r>
        <w:t>Вот как выглядят основные типы диаграмм:</w:t>
      </w:r>
    </w:p>
    <w:p w:rsidR="00E34FCC" w:rsidRDefault="009F3681" w:rsidP="00FF4A58">
      <w:pPr>
        <w:spacing w:before="240" w:after="120"/>
        <w:rPr>
          <w:b/>
          <w:sz w:val="28"/>
          <w:szCs w:val="32"/>
        </w:rPr>
      </w:pPr>
      <w:r w:rsidRPr="009F3681">
        <w:rPr>
          <w:b/>
          <w:noProof/>
          <w:sz w:val="28"/>
          <w:szCs w:val="32"/>
        </w:rPr>
        <w:lastRenderedPageBreak/>
        <w:drawing>
          <wp:inline distT="0" distB="0" distL="0" distR="0">
            <wp:extent cx="4572000" cy="38957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681" w:rsidRDefault="009F3681" w:rsidP="00FF4A58">
      <w:pPr>
        <w:spacing w:before="240" w:after="120"/>
        <w:rPr>
          <w:b/>
          <w:sz w:val="28"/>
          <w:szCs w:val="32"/>
        </w:rPr>
      </w:pPr>
    </w:p>
    <w:p w:rsidR="009F3681" w:rsidRDefault="009F3681" w:rsidP="00FF4A58">
      <w:pPr>
        <w:spacing w:before="240" w:after="120"/>
        <w:rPr>
          <w:b/>
          <w:sz w:val="28"/>
          <w:szCs w:val="32"/>
        </w:rPr>
      </w:pPr>
      <w:r w:rsidRPr="009F3681">
        <w:rPr>
          <w:b/>
          <w:noProof/>
          <w:sz w:val="28"/>
          <w:szCs w:val="32"/>
        </w:rPr>
        <w:drawing>
          <wp:inline distT="0" distB="0" distL="0" distR="0">
            <wp:extent cx="4572000" cy="4238626"/>
            <wp:effectExtent l="19050" t="0" r="19050" b="9524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3681" w:rsidRDefault="004839E1" w:rsidP="00FF4A58">
      <w:pPr>
        <w:spacing w:before="240" w:after="120"/>
        <w:rPr>
          <w:b/>
          <w:sz w:val="28"/>
          <w:szCs w:val="32"/>
        </w:rPr>
      </w:pPr>
      <w:r w:rsidRPr="004839E1">
        <w:rPr>
          <w:b/>
          <w:noProof/>
          <w:sz w:val="28"/>
          <w:szCs w:val="32"/>
        </w:rPr>
        <w:lastRenderedPageBreak/>
        <w:drawing>
          <wp:inline distT="0" distB="0" distL="0" distR="0">
            <wp:extent cx="4572000" cy="3724276"/>
            <wp:effectExtent l="19050" t="0" r="19050" b="952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F5C" w:rsidRDefault="003F08AE" w:rsidP="00FF4A58">
      <w:pPr>
        <w:spacing w:before="240" w:after="120"/>
        <w:rPr>
          <w:b/>
          <w:sz w:val="28"/>
          <w:szCs w:val="32"/>
        </w:rPr>
      </w:pPr>
      <w:r w:rsidRPr="003F08AE">
        <w:rPr>
          <w:b/>
          <w:sz w:val="28"/>
          <w:szCs w:val="32"/>
        </w:rPr>
        <w:drawing>
          <wp:inline distT="0" distB="0" distL="0" distR="0">
            <wp:extent cx="4572000" cy="3238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4FCC" w:rsidRDefault="00A74675" w:rsidP="00FF4A58">
      <w:pPr>
        <w:spacing w:before="240" w:after="120"/>
        <w:rPr>
          <w:b/>
          <w:sz w:val="28"/>
          <w:szCs w:val="32"/>
        </w:rPr>
      </w:pPr>
      <w:r w:rsidRPr="00A74675">
        <w:rPr>
          <w:b/>
          <w:noProof/>
          <w:sz w:val="28"/>
          <w:szCs w:val="32"/>
        </w:rPr>
        <w:lastRenderedPageBreak/>
        <w:drawing>
          <wp:inline distT="0" distB="0" distL="0" distR="0">
            <wp:extent cx="4572000" cy="31908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3FC3" w:rsidRDefault="00FF4A58" w:rsidP="00D66A9C">
      <w:pPr>
        <w:spacing w:before="360" w:after="120"/>
        <w:rPr>
          <w:b/>
          <w:sz w:val="28"/>
          <w:szCs w:val="32"/>
        </w:rPr>
      </w:pPr>
      <w:r w:rsidRPr="00FF4A58">
        <w:rPr>
          <w:b/>
          <w:sz w:val="28"/>
          <w:szCs w:val="32"/>
        </w:rPr>
        <w:t>Используйте «говорящие» заголовки</w:t>
      </w:r>
    </w:p>
    <w:p w:rsidR="00FF4A58" w:rsidRDefault="006D2987" w:rsidP="00FF4A58">
      <w:pPr>
        <w:spacing w:before="120" w:after="120"/>
      </w:pPr>
      <w:r>
        <w:t>В диаграммах, как правило, используются заголовки просто излагающие, о каких данных идет речь. Намного лучше выделить идею (см. выше шаг.1) и именно ее препо</w:t>
      </w:r>
      <w:r w:rsidR="0090365E">
        <w:t>днести в заголовке. В</w:t>
      </w:r>
      <w:r>
        <w:t>ы избавляетесь от поясняющего текста</w:t>
      </w:r>
      <w:r w:rsidR="0090365E">
        <w:t>, в котором вы обычно указываете, какой вывод можно сделать из диаграммы. Внимание аудитории концентрируется на самой диаграмме, а заголовок поясняет вашу основную идею. Это особенно ценно при показе слайдов. Сравните:</w:t>
      </w:r>
    </w:p>
    <w:p w:rsidR="00D66A9C" w:rsidRDefault="00D66A9C" w:rsidP="00FF4A58">
      <w:pPr>
        <w:spacing w:before="120" w:after="120"/>
      </w:pPr>
      <w:r w:rsidRPr="00D66A9C">
        <w:drawing>
          <wp:inline distT="0" distB="0" distL="0" distR="0">
            <wp:extent cx="3724275" cy="35433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6A9C" w:rsidRDefault="00D66A9C" w:rsidP="00FF4A58">
      <w:pPr>
        <w:spacing w:before="120" w:after="120"/>
      </w:pPr>
    </w:p>
    <w:p w:rsidR="00D66A9C" w:rsidRDefault="00D66A9C" w:rsidP="00FF4A58">
      <w:pPr>
        <w:spacing w:before="120" w:after="120"/>
      </w:pPr>
      <w:r w:rsidRPr="00D66A9C">
        <w:lastRenderedPageBreak/>
        <w:drawing>
          <wp:inline distT="0" distB="0" distL="0" distR="0">
            <wp:extent cx="3952875" cy="35337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6A9C" w:rsidRDefault="00D66A9C" w:rsidP="00FF4A58">
      <w:pPr>
        <w:spacing w:before="120" w:after="120"/>
      </w:pPr>
    </w:p>
    <w:p w:rsidR="00D66A9C" w:rsidRDefault="00D66A9C" w:rsidP="00FF4A58">
      <w:pPr>
        <w:spacing w:before="120" w:after="120"/>
      </w:pPr>
      <w:r w:rsidRPr="00D66A9C">
        <w:drawing>
          <wp:inline distT="0" distB="0" distL="0" distR="0">
            <wp:extent cx="3724275" cy="352425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D66A9C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AD" w:rsidRDefault="00BA6DAD" w:rsidP="00364820">
      <w:r>
        <w:separator/>
      </w:r>
    </w:p>
  </w:endnote>
  <w:endnote w:type="continuationSeparator" w:id="0">
    <w:p w:rsidR="00BA6DAD" w:rsidRDefault="00BA6DAD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AD" w:rsidRDefault="00BA6DAD" w:rsidP="00364820">
      <w:r>
        <w:separator/>
      </w:r>
    </w:p>
  </w:footnote>
  <w:footnote w:type="continuationSeparator" w:id="0">
    <w:p w:rsidR="00BA6DAD" w:rsidRDefault="00BA6DAD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50B0"/>
    <w:multiLevelType w:val="hybridMultilevel"/>
    <w:tmpl w:val="8BA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0"/>
  </w:num>
  <w:num w:numId="8">
    <w:abstractNumId w:val="25"/>
  </w:num>
  <w:num w:numId="9">
    <w:abstractNumId w:val="6"/>
  </w:num>
  <w:num w:numId="10">
    <w:abstractNumId w:val="14"/>
  </w:num>
  <w:num w:numId="11">
    <w:abstractNumId w:val="22"/>
  </w:num>
  <w:num w:numId="12">
    <w:abstractNumId w:val="23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19"/>
  </w:num>
  <w:num w:numId="20">
    <w:abstractNumId w:val="17"/>
  </w:num>
  <w:num w:numId="21">
    <w:abstractNumId w:val="8"/>
  </w:num>
  <w:num w:numId="22">
    <w:abstractNumId w:val="18"/>
  </w:num>
  <w:num w:numId="23">
    <w:abstractNumId w:val="21"/>
  </w:num>
  <w:num w:numId="24">
    <w:abstractNumId w:val="24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2F89"/>
    <w:rsid w:val="000573F5"/>
    <w:rsid w:val="000616B9"/>
    <w:rsid w:val="0007690C"/>
    <w:rsid w:val="0008025C"/>
    <w:rsid w:val="00096974"/>
    <w:rsid w:val="000A52F4"/>
    <w:rsid w:val="000A6EF4"/>
    <w:rsid w:val="000B104F"/>
    <w:rsid w:val="000B41DE"/>
    <w:rsid w:val="000D1C42"/>
    <w:rsid w:val="000E4B01"/>
    <w:rsid w:val="000F587A"/>
    <w:rsid w:val="00100D80"/>
    <w:rsid w:val="0011296A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556E"/>
    <w:rsid w:val="00196806"/>
    <w:rsid w:val="001C762B"/>
    <w:rsid w:val="001D08AE"/>
    <w:rsid w:val="001D5151"/>
    <w:rsid w:val="001D515E"/>
    <w:rsid w:val="001E1404"/>
    <w:rsid w:val="001E4ECF"/>
    <w:rsid w:val="001F0B16"/>
    <w:rsid w:val="002030C0"/>
    <w:rsid w:val="00207947"/>
    <w:rsid w:val="00212F2C"/>
    <w:rsid w:val="0023151A"/>
    <w:rsid w:val="002344A9"/>
    <w:rsid w:val="00235406"/>
    <w:rsid w:val="0024518F"/>
    <w:rsid w:val="002556E2"/>
    <w:rsid w:val="002820FD"/>
    <w:rsid w:val="002A4A27"/>
    <w:rsid w:val="002A5232"/>
    <w:rsid w:val="002A720E"/>
    <w:rsid w:val="002B0B66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337A0"/>
    <w:rsid w:val="00335BDD"/>
    <w:rsid w:val="003411C5"/>
    <w:rsid w:val="00355CE8"/>
    <w:rsid w:val="0036043D"/>
    <w:rsid w:val="00364820"/>
    <w:rsid w:val="00387720"/>
    <w:rsid w:val="003A67E6"/>
    <w:rsid w:val="003A7EBF"/>
    <w:rsid w:val="003B0CA5"/>
    <w:rsid w:val="003B4D5E"/>
    <w:rsid w:val="003B7CD0"/>
    <w:rsid w:val="003C25C4"/>
    <w:rsid w:val="003C7702"/>
    <w:rsid w:val="003D0512"/>
    <w:rsid w:val="003F08AE"/>
    <w:rsid w:val="003F201C"/>
    <w:rsid w:val="003F52D7"/>
    <w:rsid w:val="00400FA4"/>
    <w:rsid w:val="004104FF"/>
    <w:rsid w:val="0042038F"/>
    <w:rsid w:val="004253C0"/>
    <w:rsid w:val="00437187"/>
    <w:rsid w:val="0046481D"/>
    <w:rsid w:val="004662BB"/>
    <w:rsid w:val="00477912"/>
    <w:rsid w:val="00482F0E"/>
    <w:rsid w:val="004839E1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4F7E43"/>
    <w:rsid w:val="00500EF2"/>
    <w:rsid w:val="00504CEC"/>
    <w:rsid w:val="005309D7"/>
    <w:rsid w:val="00531071"/>
    <w:rsid w:val="005455D6"/>
    <w:rsid w:val="0054633A"/>
    <w:rsid w:val="00553782"/>
    <w:rsid w:val="00553805"/>
    <w:rsid w:val="0056585F"/>
    <w:rsid w:val="00565F2F"/>
    <w:rsid w:val="0059271A"/>
    <w:rsid w:val="005A2399"/>
    <w:rsid w:val="005A4AA6"/>
    <w:rsid w:val="005C4050"/>
    <w:rsid w:val="005C43A5"/>
    <w:rsid w:val="005D6712"/>
    <w:rsid w:val="005D6DF7"/>
    <w:rsid w:val="005E490A"/>
    <w:rsid w:val="005F4FF0"/>
    <w:rsid w:val="00602122"/>
    <w:rsid w:val="0060548E"/>
    <w:rsid w:val="00605760"/>
    <w:rsid w:val="006167DC"/>
    <w:rsid w:val="0063797E"/>
    <w:rsid w:val="00653D05"/>
    <w:rsid w:val="0065698E"/>
    <w:rsid w:val="00694153"/>
    <w:rsid w:val="00696577"/>
    <w:rsid w:val="006A566B"/>
    <w:rsid w:val="006A56DB"/>
    <w:rsid w:val="006B4AD5"/>
    <w:rsid w:val="006C2D3C"/>
    <w:rsid w:val="006D2987"/>
    <w:rsid w:val="006E31A1"/>
    <w:rsid w:val="006E6A4A"/>
    <w:rsid w:val="006F05E1"/>
    <w:rsid w:val="006F15EB"/>
    <w:rsid w:val="006F3344"/>
    <w:rsid w:val="00700AFA"/>
    <w:rsid w:val="00701E6A"/>
    <w:rsid w:val="00703461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773DB"/>
    <w:rsid w:val="00785A72"/>
    <w:rsid w:val="00786168"/>
    <w:rsid w:val="00794546"/>
    <w:rsid w:val="007956E8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2D6C"/>
    <w:rsid w:val="00847711"/>
    <w:rsid w:val="00851BB1"/>
    <w:rsid w:val="0085797B"/>
    <w:rsid w:val="0089209C"/>
    <w:rsid w:val="00893728"/>
    <w:rsid w:val="00893787"/>
    <w:rsid w:val="008978C7"/>
    <w:rsid w:val="008A3398"/>
    <w:rsid w:val="008B1271"/>
    <w:rsid w:val="008B5B65"/>
    <w:rsid w:val="008C2255"/>
    <w:rsid w:val="008D2F52"/>
    <w:rsid w:val="008F5FB0"/>
    <w:rsid w:val="0090365E"/>
    <w:rsid w:val="00916F5C"/>
    <w:rsid w:val="009234AB"/>
    <w:rsid w:val="00955F3A"/>
    <w:rsid w:val="00956C2F"/>
    <w:rsid w:val="00963448"/>
    <w:rsid w:val="00967B67"/>
    <w:rsid w:val="00972235"/>
    <w:rsid w:val="009778DA"/>
    <w:rsid w:val="009818B3"/>
    <w:rsid w:val="009949F1"/>
    <w:rsid w:val="00996237"/>
    <w:rsid w:val="00997137"/>
    <w:rsid w:val="009A5275"/>
    <w:rsid w:val="009B71CB"/>
    <w:rsid w:val="009C7513"/>
    <w:rsid w:val="009E1DF3"/>
    <w:rsid w:val="009F3681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74675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625A"/>
    <w:rsid w:val="00AD7E2B"/>
    <w:rsid w:val="00B01B63"/>
    <w:rsid w:val="00B01E4A"/>
    <w:rsid w:val="00B21BE3"/>
    <w:rsid w:val="00B23E64"/>
    <w:rsid w:val="00B26979"/>
    <w:rsid w:val="00B317BF"/>
    <w:rsid w:val="00B45415"/>
    <w:rsid w:val="00B54B5D"/>
    <w:rsid w:val="00B75309"/>
    <w:rsid w:val="00B77A1E"/>
    <w:rsid w:val="00B849D4"/>
    <w:rsid w:val="00B928B4"/>
    <w:rsid w:val="00B953E2"/>
    <w:rsid w:val="00BA6446"/>
    <w:rsid w:val="00BA6DAD"/>
    <w:rsid w:val="00BA7D17"/>
    <w:rsid w:val="00BB38D2"/>
    <w:rsid w:val="00BB65EE"/>
    <w:rsid w:val="00BC765B"/>
    <w:rsid w:val="00BD0451"/>
    <w:rsid w:val="00BE4134"/>
    <w:rsid w:val="00BE7470"/>
    <w:rsid w:val="00BF599E"/>
    <w:rsid w:val="00C14E25"/>
    <w:rsid w:val="00C16156"/>
    <w:rsid w:val="00C20560"/>
    <w:rsid w:val="00C21693"/>
    <w:rsid w:val="00C31B8B"/>
    <w:rsid w:val="00C34F4C"/>
    <w:rsid w:val="00C52BDC"/>
    <w:rsid w:val="00C61943"/>
    <w:rsid w:val="00C6715D"/>
    <w:rsid w:val="00C73614"/>
    <w:rsid w:val="00C85515"/>
    <w:rsid w:val="00C85EF8"/>
    <w:rsid w:val="00C86331"/>
    <w:rsid w:val="00CA228B"/>
    <w:rsid w:val="00CC5D74"/>
    <w:rsid w:val="00CD088C"/>
    <w:rsid w:val="00CD4E97"/>
    <w:rsid w:val="00CD5151"/>
    <w:rsid w:val="00CD51FE"/>
    <w:rsid w:val="00CF766A"/>
    <w:rsid w:val="00D01EA9"/>
    <w:rsid w:val="00D041E4"/>
    <w:rsid w:val="00D05744"/>
    <w:rsid w:val="00D06B31"/>
    <w:rsid w:val="00D222EA"/>
    <w:rsid w:val="00D26E48"/>
    <w:rsid w:val="00D403F2"/>
    <w:rsid w:val="00D555A5"/>
    <w:rsid w:val="00D57F13"/>
    <w:rsid w:val="00D66A9C"/>
    <w:rsid w:val="00D745C3"/>
    <w:rsid w:val="00D9285A"/>
    <w:rsid w:val="00DA20B1"/>
    <w:rsid w:val="00DA4281"/>
    <w:rsid w:val="00DA7CB1"/>
    <w:rsid w:val="00DB692C"/>
    <w:rsid w:val="00DB7062"/>
    <w:rsid w:val="00DD4713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34FCC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F3909"/>
    <w:rsid w:val="00F33FC3"/>
    <w:rsid w:val="00F3413B"/>
    <w:rsid w:val="00F44E39"/>
    <w:rsid w:val="00F47389"/>
    <w:rsid w:val="00F53920"/>
    <w:rsid w:val="00F56BEA"/>
    <w:rsid w:val="00F92848"/>
    <w:rsid w:val="00F9786B"/>
    <w:rsid w:val="00FA0E41"/>
    <w:rsid w:val="00FA47A5"/>
    <w:rsid w:val="00FA54C3"/>
    <w:rsid w:val="00FB6CE0"/>
    <w:rsid w:val="00FC2552"/>
    <w:rsid w:val="00FC3FD7"/>
    <w:rsid w:val="00FD2066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00F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400FA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x-pict.com/4/6.html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369353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58;&#1080;&#1087;&#1099;%20&#1076;&#1080;&#1072;&#1075;&#1088;&#1072;&#1084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0"/>
              <a:t>Покомпонентное сравнение данных лучше всего демонстрируется</a:t>
            </a:r>
            <a:r>
              <a:rPr lang="ru-RU" sz="1200" b="0" baseline="0"/>
              <a:t> при  помощи круговой диаграммы:</a:t>
            </a:r>
          </a:p>
          <a:p>
            <a:pPr algn="l">
              <a:defRPr/>
            </a:pPr>
            <a:r>
              <a:rPr lang="ru-RU" sz="1200" baseline="0"/>
              <a:t>Рынок сотовой связи РФ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16934011373578303"/>
          <c:y val="0.19498758254240262"/>
          <c:w val="0.66409755030621243"/>
          <c:h val="0.77938098813442935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примеры!$A$2:$A$5</c:f>
              <c:strCache>
                <c:ptCount val="4"/>
                <c:pt idx="0">
                  <c:v>МТС</c:v>
                </c:pt>
                <c:pt idx="1">
                  <c:v>Билайн</c:v>
                </c:pt>
                <c:pt idx="2">
                  <c:v>Мегафон</c:v>
                </c:pt>
                <c:pt idx="3">
                  <c:v>Прочие</c:v>
                </c:pt>
              </c:strCache>
            </c:strRef>
          </c:cat>
          <c:val>
            <c:numRef>
              <c:f>примеры!$B$2:$B$5</c:f>
              <c:numCache>
                <c:formatCode>0%</c:formatCode>
                <c:ptCount val="4"/>
                <c:pt idx="0">
                  <c:v>0.35000000000000014</c:v>
                </c:pt>
                <c:pt idx="1">
                  <c:v>0.25</c:v>
                </c:pt>
                <c:pt idx="2">
                  <c:v>0.23</c:v>
                </c:pt>
                <c:pt idx="3">
                  <c:v>0.17000000000000004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0"/>
              <a:t>Для иллюстрации позиционного сравнения лучше всего подходит линейчатая диаграмма:</a:t>
            </a:r>
          </a:p>
          <a:p>
            <a:pPr algn="l">
              <a:defRPr/>
            </a:pPr>
            <a:r>
              <a:rPr lang="ru-RU" sz="1200"/>
              <a:t>Среднесуточная доля аудитории телеканалов в  Москве в период с 3 по 9 мая 2010 г, в 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примеры!$A$24:$A$37</c:f>
              <c:strCache>
                <c:ptCount val="14"/>
                <c:pt idx="0">
                  <c:v>Первый канал</c:v>
                </c:pt>
                <c:pt idx="1">
                  <c:v>Россия 1</c:v>
                </c:pt>
                <c:pt idx="2">
                  <c:v>НТВ</c:v>
                </c:pt>
                <c:pt idx="3">
                  <c:v>ТНТ</c:v>
                </c:pt>
                <c:pt idx="4">
                  <c:v>СТС</c:v>
                </c:pt>
                <c:pt idx="5">
                  <c:v>ТВ Центр</c:v>
                </c:pt>
                <c:pt idx="6">
                  <c:v>РенТВ</c:v>
                </c:pt>
                <c:pt idx="7">
                  <c:v>Россия Культура</c:v>
                </c:pt>
                <c:pt idx="8">
                  <c:v>Домашний</c:v>
                </c:pt>
                <c:pt idx="9">
                  <c:v>ТВ-3</c:v>
                </c:pt>
                <c:pt idx="10">
                  <c:v>Звезда</c:v>
                </c:pt>
                <c:pt idx="11">
                  <c:v>Россия 2</c:v>
                </c:pt>
                <c:pt idx="12">
                  <c:v>ДТВ</c:v>
                </c:pt>
                <c:pt idx="13">
                  <c:v>Пятый канал</c:v>
                </c:pt>
              </c:strCache>
            </c:strRef>
          </c:cat>
          <c:val>
            <c:numRef>
              <c:f>примеры!$B$24:$B$37</c:f>
              <c:numCache>
                <c:formatCode>0.0%</c:formatCode>
                <c:ptCount val="14"/>
                <c:pt idx="0">
                  <c:v>0.17400000000000004</c:v>
                </c:pt>
                <c:pt idx="1">
                  <c:v>0.14200000000000004</c:v>
                </c:pt>
                <c:pt idx="2">
                  <c:v>0.13400000000000001</c:v>
                </c:pt>
                <c:pt idx="3">
                  <c:v>7.9000000000000042E-2</c:v>
                </c:pt>
                <c:pt idx="4">
                  <c:v>5.9000000000000018E-2</c:v>
                </c:pt>
                <c:pt idx="5">
                  <c:v>5.1999999999999998E-2</c:v>
                </c:pt>
                <c:pt idx="6">
                  <c:v>4.8000000000000001E-2</c:v>
                </c:pt>
                <c:pt idx="7">
                  <c:v>3.0000000000000002E-2</c:v>
                </c:pt>
                <c:pt idx="8">
                  <c:v>2.9000000000000001E-2</c:v>
                </c:pt>
                <c:pt idx="9">
                  <c:v>2.5000000000000001E-2</c:v>
                </c:pt>
                <c:pt idx="10">
                  <c:v>2.5000000000000001E-2</c:v>
                </c:pt>
                <c:pt idx="11">
                  <c:v>2.3E-2</c:v>
                </c:pt>
                <c:pt idx="12">
                  <c:v>2.0000000000000011E-2</c:v>
                </c:pt>
                <c:pt idx="13">
                  <c:v>1.4999999999999998E-2</c:v>
                </c:pt>
              </c:numCache>
            </c:numRef>
          </c:val>
        </c:ser>
        <c:axId val="130281856"/>
        <c:axId val="130283776"/>
      </c:barChart>
      <c:catAx>
        <c:axId val="130281856"/>
        <c:scaling>
          <c:orientation val="minMax"/>
        </c:scaling>
        <c:axPos val="l"/>
        <c:tickLblPos val="nextTo"/>
        <c:crossAx val="130283776"/>
        <c:crosses val="autoZero"/>
        <c:auto val="1"/>
        <c:lblAlgn val="ctr"/>
        <c:lblOffset val="100"/>
      </c:catAx>
      <c:valAx>
        <c:axId val="130283776"/>
        <c:scaling>
          <c:orientation val="minMax"/>
        </c:scaling>
        <c:delete val="1"/>
        <c:axPos val="b"/>
        <c:numFmt formatCode="0.0%" sourceLinked="1"/>
        <c:tickLblPos val="none"/>
        <c:crossAx val="1302818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0">
                <a:latin typeface="+mn-lt"/>
              </a:rPr>
              <a:t>Если покомпонентное и позиционное сравнение показывают взаимосвязи в определенный момент времени, то временн</a:t>
            </a:r>
            <a:r>
              <a:rPr lang="en-US" sz="1200" b="0">
                <a:latin typeface="+mn-lt"/>
                <a:cs typeface="Times New Roman"/>
              </a:rPr>
              <a:t>ó</a:t>
            </a:r>
            <a:r>
              <a:rPr lang="ru-RU" sz="1200" b="0">
                <a:latin typeface="+mn-lt"/>
                <a:cs typeface="Times New Roman"/>
              </a:rPr>
              <a:t>е сравнение отражает динамику изменений:</a:t>
            </a:r>
          </a:p>
          <a:p>
            <a:pPr algn="l">
              <a:defRPr/>
            </a:pPr>
            <a:r>
              <a:rPr lang="ru-RU" sz="1200" b="1">
                <a:latin typeface="+mn-lt"/>
              </a:rPr>
              <a:t>Динамика ВВП России в ценах 2003 г., трлн. руб.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cat>
            <c:numRef>
              <c:f>примеры!$A$48:$A$62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примеры!$B$48:$B$62</c:f>
              <c:numCache>
                <c:formatCode>0.0</c:formatCode>
                <c:ptCount val="15"/>
                <c:pt idx="0">
                  <c:v>10.361718608843969</c:v>
                </c:pt>
                <c:pt idx="1">
                  <c:v>9.9878919768239491</c:v>
                </c:pt>
                <c:pt idx="2">
                  <c:v>10.125839276215688</c:v>
                </c:pt>
                <c:pt idx="3">
                  <c:v>9.5846269259811283</c:v>
                </c:pt>
                <c:pt idx="4">
                  <c:v>10.193356166511942</c:v>
                </c:pt>
                <c:pt idx="5">
                  <c:v>11.217345786029467</c:v>
                </c:pt>
                <c:pt idx="6">
                  <c:v>11.788434229016305</c:v>
                </c:pt>
                <c:pt idx="7">
                  <c:v>12.347651885037148</c:v>
                </c:pt>
                <c:pt idx="8">
                  <c:v>13.243239819124303</c:v>
                </c:pt>
                <c:pt idx="9">
                  <c:v>14.190309687440163</c:v>
                </c:pt>
                <c:pt idx="10">
                  <c:v>15.096729872435301</c:v>
                </c:pt>
                <c:pt idx="11">
                  <c:v>16.255522429702467</c:v>
                </c:pt>
                <c:pt idx="12">
                  <c:v>17.57086185560944</c:v>
                </c:pt>
                <c:pt idx="13">
                  <c:v>18.552475671801304</c:v>
                </c:pt>
                <c:pt idx="14">
                  <c:v>17.077657871605684</c:v>
                </c:pt>
              </c:numCache>
            </c:numRef>
          </c:val>
        </c:ser>
        <c:axId val="101736448"/>
        <c:axId val="101737984"/>
      </c:barChart>
      <c:catAx>
        <c:axId val="1017364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1737984"/>
        <c:crosses val="autoZero"/>
        <c:auto val="1"/>
        <c:lblAlgn val="ctr"/>
        <c:lblOffset val="100"/>
      </c:catAx>
      <c:valAx>
        <c:axId val="101737984"/>
        <c:scaling>
          <c:orientation val="minMax"/>
          <c:max val="19"/>
          <c:min val="0"/>
        </c:scaling>
        <c:axPos val="l"/>
        <c:majorGridlines/>
        <c:numFmt formatCode="0" sourceLinked="0"/>
        <c:tickLblPos val="nextTo"/>
        <c:crossAx val="1017364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0">
                <a:latin typeface="+mn-lt"/>
              </a:rPr>
              <a:t>Частотное сравнение показывает, сколько значений данного параметра (частотность) попадает в последовательные области числовых значений:</a:t>
            </a:r>
            <a:br>
              <a:rPr lang="ru-RU" sz="1200" b="0">
                <a:latin typeface="+mn-lt"/>
              </a:rPr>
            </a:br>
            <a:r>
              <a:rPr lang="ru-RU" sz="1200" b="1" i="0" u="none" strike="noStrike" baseline="0">
                <a:latin typeface="+mn-lt"/>
              </a:rPr>
              <a:t>Распределение количества городов и поселков городского типа по числу жителей, </a:t>
            </a:r>
            <a:r>
              <a:rPr lang="ru-RU" sz="1200" b="0" i="0" u="none" strike="noStrike" baseline="0">
                <a:latin typeface="+mn-lt"/>
              </a:rPr>
              <a:t>на январь 2009 г.</a:t>
            </a:r>
            <a:endParaRPr lang="ru-RU" sz="1200" b="0">
              <a:latin typeface="+mn-lt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612510936132995"/>
          <c:y val="0.3656862745098044"/>
          <c:w val="0.86331933508311465"/>
          <c:h val="0.3759181719932072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  <a:ln w="12700">
              <a:solidFill>
                <a:schemeClr val="tx1"/>
              </a:solidFill>
              <a:prstDash val="solid"/>
            </a:ln>
          </c:spPr>
          <c:dLbls>
            <c:showVal val="1"/>
          </c:dLbls>
          <c:cat>
            <c:strRef>
              <c:f>примеры!$A$70:$A$78</c:f>
              <c:strCache>
                <c:ptCount val="9"/>
                <c:pt idx="0">
                  <c:v>0 -2,9</c:v>
                </c:pt>
                <c:pt idx="1">
                  <c:v>3 - 4,9</c:v>
                </c:pt>
                <c:pt idx="2">
                  <c:v>5 - 9,9</c:v>
                </c:pt>
                <c:pt idx="3">
                  <c:v>10 - 19,9</c:v>
                </c:pt>
                <c:pt idx="4">
                  <c:v>20 - 49,9</c:v>
                </c:pt>
                <c:pt idx="5">
                  <c:v>50 - 99,9</c:v>
                </c:pt>
                <c:pt idx="6">
                  <c:v>100 - 499,9</c:v>
                </c:pt>
                <c:pt idx="7">
                  <c:v>500 - 999,9</c:v>
                </c:pt>
                <c:pt idx="8">
                  <c:v>1 млн. и более</c:v>
                </c:pt>
              </c:strCache>
            </c:strRef>
          </c:cat>
          <c:val>
            <c:numRef>
              <c:f>примеры!$B$70:$B$78</c:f>
              <c:numCache>
                <c:formatCode>General</c:formatCode>
                <c:ptCount val="9"/>
                <c:pt idx="0">
                  <c:v>362</c:v>
                </c:pt>
                <c:pt idx="1">
                  <c:v>320</c:v>
                </c:pt>
                <c:pt idx="2">
                  <c:v>564</c:v>
                </c:pt>
                <c:pt idx="3">
                  <c:v>475</c:v>
                </c:pt>
                <c:pt idx="4">
                  <c:v>376</c:v>
                </c:pt>
                <c:pt idx="5">
                  <c:v>156</c:v>
                </c:pt>
                <c:pt idx="6">
                  <c:v>129</c:v>
                </c:pt>
                <c:pt idx="7">
                  <c:v>24</c:v>
                </c:pt>
                <c:pt idx="8">
                  <c:v>11</c:v>
                </c:pt>
              </c:numCache>
            </c:numRef>
          </c:val>
        </c:ser>
        <c:gapWidth val="0"/>
        <c:axId val="130039808"/>
        <c:axId val="130041728"/>
      </c:barChart>
      <c:catAx>
        <c:axId val="130039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Диапазоны по числу жителей,</a:t>
                </a:r>
                <a:r>
                  <a:rPr lang="ru-RU" baseline="0"/>
                  <a:t> тыс. человек</a:t>
                </a:r>
                <a:endParaRPr lang="ru-RU"/>
              </a:p>
            </c:rich>
          </c:tx>
        </c:title>
        <c:tickLblPos val="nextTo"/>
        <c:crossAx val="130041728"/>
        <c:crosses val="autoZero"/>
        <c:auto val="1"/>
        <c:lblAlgn val="ctr"/>
        <c:lblOffset val="100"/>
      </c:catAx>
      <c:valAx>
        <c:axId val="130041728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</a:t>
                </a:r>
                <a:r>
                  <a:rPr lang="ru-RU" baseline="0"/>
                  <a:t> городов и поселков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0555555555555572E-2"/>
              <c:y val="0.33823529411764741"/>
            </c:manualLayout>
          </c:layout>
        </c:title>
        <c:numFmt formatCode="General" sourceLinked="1"/>
        <c:tickLblPos val="none"/>
        <c:crossAx val="1300398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0"/>
              <a:t>Корреляционное сравнение показывает,</a:t>
            </a:r>
            <a:r>
              <a:rPr lang="ru-RU" sz="1200" b="0" baseline="0"/>
              <a:t> имеет ли место ожидаемая зависимость:</a:t>
            </a:r>
          </a:p>
          <a:p>
            <a:pPr algn="l">
              <a:defRPr/>
            </a:pPr>
            <a:r>
              <a:rPr lang="ru-RU" sz="1200"/>
              <a:t>Место в чемпионате КХЛ 2008-2009 и бюджет клуба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примеры!$D$90</c:f>
              <c:strCache>
                <c:ptCount val="1"/>
                <c:pt idx="0">
                  <c:v>Место в чемпионате КХЛ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примеры!$C$91:$C$114</c:f>
              <c:numCache>
                <c:formatCode>#,##0</c:formatCode>
                <c:ptCount val="24"/>
                <c:pt idx="0">
                  <c:v>798.86019299999953</c:v>
                </c:pt>
                <c:pt idx="1">
                  <c:v>613.89318700000001</c:v>
                </c:pt>
                <c:pt idx="2">
                  <c:v>540.39673500000004</c:v>
                </c:pt>
                <c:pt idx="3">
                  <c:v>533.45168899999965</c:v>
                </c:pt>
                <c:pt idx="4">
                  <c:v>507.41315299999968</c:v>
                </c:pt>
                <c:pt idx="5">
                  <c:v>507.02957099999981</c:v>
                </c:pt>
                <c:pt idx="6">
                  <c:v>489.55392499999999</c:v>
                </c:pt>
                <c:pt idx="7">
                  <c:v>372.45865799999984</c:v>
                </c:pt>
                <c:pt idx="8">
                  <c:v>460.262427</c:v>
                </c:pt>
                <c:pt idx="9">
                  <c:v>421.79259699999983</c:v>
                </c:pt>
                <c:pt idx="10">
                  <c:v>347.27075399999984</c:v>
                </c:pt>
                <c:pt idx="11">
                  <c:v>330.56560000000002</c:v>
                </c:pt>
                <c:pt idx="12">
                  <c:v>314.337603</c:v>
                </c:pt>
                <c:pt idx="13">
                  <c:v>242.26364199999998</c:v>
                </c:pt>
                <c:pt idx="14">
                  <c:v>213.76970299999991</c:v>
                </c:pt>
                <c:pt idx="15">
                  <c:v>211.94194000000007</c:v>
                </c:pt>
                <c:pt idx="16">
                  <c:v>207.47829200000001</c:v>
                </c:pt>
                <c:pt idx="17">
                  <c:v>207.02786800000001</c:v>
                </c:pt>
                <c:pt idx="18">
                  <c:v>205.93714000000008</c:v>
                </c:pt>
                <c:pt idx="19">
                  <c:v>188.751711</c:v>
                </c:pt>
                <c:pt idx="20">
                  <c:v>183.98058499999999</c:v>
                </c:pt>
                <c:pt idx="21">
                  <c:v>150.06088299999999</c:v>
                </c:pt>
                <c:pt idx="22">
                  <c:v>117.64382500000002</c:v>
                </c:pt>
                <c:pt idx="23">
                  <c:v>112.17100000000001</c:v>
                </c:pt>
              </c:numCache>
            </c:numRef>
          </c:xVal>
          <c:yVal>
            <c:numRef>
              <c:f>примеры!$D$91:$D$114</c:f>
              <c:numCache>
                <c:formatCode>General</c:formatCode>
                <c:ptCount val="24"/>
                <c:pt idx="0">
                  <c:v>16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8</c:v>
                </c:pt>
                <c:pt idx="9">
                  <c:v>17</c:v>
                </c:pt>
                <c:pt idx="10">
                  <c:v>11</c:v>
                </c:pt>
                <c:pt idx="11">
                  <c:v>12</c:v>
                </c:pt>
                <c:pt idx="12">
                  <c:v>15</c:v>
                </c:pt>
                <c:pt idx="13">
                  <c:v>9</c:v>
                </c:pt>
                <c:pt idx="14">
                  <c:v>19</c:v>
                </c:pt>
                <c:pt idx="15">
                  <c:v>21</c:v>
                </c:pt>
                <c:pt idx="16">
                  <c:v>14</c:v>
                </c:pt>
                <c:pt idx="17">
                  <c:v>23</c:v>
                </c:pt>
                <c:pt idx="18">
                  <c:v>13</c:v>
                </c:pt>
                <c:pt idx="19">
                  <c:v>18</c:v>
                </c:pt>
                <c:pt idx="20">
                  <c:v>20</c:v>
                </c:pt>
                <c:pt idx="21">
                  <c:v>10</c:v>
                </c:pt>
                <c:pt idx="22">
                  <c:v>22</c:v>
                </c:pt>
                <c:pt idx="23">
                  <c:v>24</c:v>
                </c:pt>
              </c:numCache>
            </c:numRef>
          </c:yVal>
        </c:ser>
        <c:axId val="130082304"/>
        <c:axId val="130191744"/>
      </c:scatterChart>
      <c:valAx>
        <c:axId val="130082304"/>
        <c:scaling>
          <c:orientation val="minMax"/>
          <c:max val="80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Бюджет, млн. руб.</a:t>
                </a:r>
              </a:p>
            </c:rich>
          </c:tx>
        </c:title>
        <c:numFmt formatCode="#,##0" sourceLinked="1"/>
        <c:tickLblPos val="nextTo"/>
        <c:crossAx val="130191744"/>
        <c:crosses val="autoZero"/>
        <c:crossBetween val="midCat"/>
      </c:valAx>
      <c:valAx>
        <c:axId val="130191744"/>
        <c:scaling>
          <c:orientation val="minMax"/>
          <c:max val="25"/>
          <c:min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Место</a:t>
                </a:r>
                <a:r>
                  <a:rPr lang="ru-RU" baseline="0"/>
                  <a:t> в регулярном чемпионате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2222222222222251E-2"/>
              <c:y val="0.22444094488188995"/>
            </c:manualLayout>
          </c:layout>
        </c:title>
        <c:numFmt formatCode="General" sourceLinked="1"/>
        <c:tickLblPos val="nextTo"/>
        <c:crossAx val="130082304"/>
        <c:crosses val="autoZero"/>
        <c:crossBetween val="midCat"/>
        <c:majorUnit val="4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Рынок сотовой связи РФ в 2009 году</a:t>
            </a:r>
          </a:p>
        </c:rich>
      </c:tx>
      <c:layout>
        <c:manualLayout>
          <c:xMode val="edge"/>
          <c:yMode val="edge"/>
          <c:x val="0.25743210156284452"/>
          <c:y val="4.6594982078853049E-2"/>
        </c:manualLayout>
      </c:layout>
    </c:title>
    <c:plotArea>
      <c:layout>
        <c:manualLayout>
          <c:layoutTarget val="inner"/>
          <c:xMode val="edge"/>
          <c:yMode val="edge"/>
          <c:x val="0.11222291586953169"/>
          <c:y val="0.15630598594530534"/>
          <c:w val="0.7550938102046717"/>
          <c:h val="0.79366042954308202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примеры!$A$2:$A$5</c:f>
              <c:strCache>
                <c:ptCount val="4"/>
                <c:pt idx="0">
                  <c:v>МТС</c:v>
                </c:pt>
                <c:pt idx="1">
                  <c:v>Билайн</c:v>
                </c:pt>
                <c:pt idx="2">
                  <c:v>Мегафон</c:v>
                </c:pt>
                <c:pt idx="3">
                  <c:v>Прочие</c:v>
                </c:pt>
              </c:strCache>
            </c:strRef>
          </c:cat>
          <c:val>
            <c:numRef>
              <c:f>примеры!$B$2:$B$5</c:f>
              <c:numCache>
                <c:formatCode>0%</c:formatCode>
                <c:ptCount val="4"/>
                <c:pt idx="0">
                  <c:v>0.35000000000000003</c:v>
                </c:pt>
                <c:pt idx="1">
                  <c:v>0.25</c:v>
                </c:pt>
                <c:pt idx="2">
                  <c:v>0.23</c:v>
                </c:pt>
                <c:pt idx="3">
                  <c:v>0.17000000000000004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/>
              <a:t>В 2009 году МТС подтвердила свою </a:t>
            </a:r>
            <a:r>
              <a:rPr lang="ru-RU" sz="1200" b="1" i="0" u="none" strike="noStrike" baseline="0"/>
              <a:t>лидирующую позицию </a:t>
            </a:r>
            <a:r>
              <a:rPr lang="ru-RU" sz="1200"/>
              <a:t> на рынке сотовой связи РФ </a:t>
            </a:r>
          </a:p>
        </c:rich>
      </c:tx>
    </c:title>
    <c:plotArea>
      <c:layout>
        <c:manualLayout>
          <c:layoutTarget val="inner"/>
          <c:xMode val="edge"/>
          <c:yMode val="edge"/>
          <c:x val="0.16724864813585061"/>
          <c:y val="0.2229332654172948"/>
          <c:w val="0.66550245074787362"/>
          <c:h val="0.74442996512228421"/>
        </c:manualLayout>
      </c:layout>
      <c:pieChart>
        <c:varyColors val="1"/>
        <c:ser>
          <c:idx val="0"/>
          <c:order val="0"/>
          <c:dPt>
            <c:idx val="0"/>
            <c:explosion val="18"/>
          </c:dPt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примеры!$A$2:$A$5</c:f>
              <c:strCache>
                <c:ptCount val="4"/>
                <c:pt idx="0">
                  <c:v>МТС</c:v>
                </c:pt>
                <c:pt idx="1">
                  <c:v>Билайн</c:v>
                </c:pt>
                <c:pt idx="2">
                  <c:v>Мегафон</c:v>
                </c:pt>
                <c:pt idx="3">
                  <c:v>Прочие</c:v>
                </c:pt>
              </c:strCache>
            </c:strRef>
          </c:cat>
          <c:val>
            <c:numRef>
              <c:f>примеры!$B$2:$B$5</c:f>
              <c:numCache>
                <c:formatCode>0%</c:formatCode>
                <c:ptCount val="4"/>
                <c:pt idx="0">
                  <c:v>0.35000000000000003</c:v>
                </c:pt>
                <c:pt idx="1">
                  <c:v>0.25</c:v>
                </c:pt>
                <c:pt idx="2">
                  <c:v>0.23</c:v>
                </c:pt>
                <c:pt idx="3">
                  <c:v>0.17000000000000004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1" i="0" baseline="0">
                <a:latin typeface="+mn-lt"/>
              </a:rPr>
              <a:t>В 2009 году Мегафон вплотную приблизился к Билайну по доле абонентов на рынке сотовой связи РФ </a:t>
            </a:r>
            <a:endParaRPr lang="ru-RU" sz="1200">
              <a:latin typeface="+mn-lt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453309704573383"/>
          <c:y val="0.20534893949067193"/>
          <c:w val="0.72457404461270991"/>
          <c:h val="0.76569851741505379"/>
        </c:manualLayout>
      </c:layout>
      <c:pieChart>
        <c:varyColors val="1"/>
        <c:ser>
          <c:idx val="0"/>
          <c:order val="0"/>
          <c:dPt>
            <c:idx val="2"/>
            <c:explosion val="26"/>
          </c:dPt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примеры!$A$2:$A$5</c:f>
              <c:strCache>
                <c:ptCount val="4"/>
                <c:pt idx="0">
                  <c:v>МТС</c:v>
                </c:pt>
                <c:pt idx="1">
                  <c:v>Билайн</c:v>
                </c:pt>
                <c:pt idx="2">
                  <c:v>Мегафон</c:v>
                </c:pt>
                <c:pt idx="3">
                  <c:v>Прочие</c:v>
                </c:pt>
              </c:strCache>
            </c:strRef>
          </c:cat>
          <c:val>
            <c:numRef>
              <c:f>примеры!$B$2:$B$5</c:f>
              <c:numCache>
                <c:formatCode>0%</c:formatCode>
                <c:ptCount val="4"/>
                <c:pt idx="0">
                  <c:v>0.35000000000000003</c:v>
                </c:pt>
                <c:pt idx="1">
                  <c:v>0.25</c:v>
                </c:pt>
                <c:pt idx="2">
                  <c:v>0.23</c:v>
                </c:pt>
                <c:pt idx="3">
                  <c:v>0.17000000000000004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542A6AF5-6973-4C9B-9C9D-214149C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2589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7</cp:revision>
  <cp:lastPrinted>2010-04-12T07:18:00Z</cp:lastPrinted>
  <dcterms:created xsi:type="dcterms:W3CDTF">2010-05-11T11:53:00Z</dcterms:created>
  <dcterms:modified xsi:type="dcterms:W3CDTF">2010-05-12T08:18:00Z</dcterms:modified>
</cp:coreProperties>
</file>