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99" w:rsidRDefault="00797015" w:rsidP="00DA20B1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Excel</w:t>
      </w:r>
      <w:r>
        <w:rPr>
          <w:b/>
          <w:sz w:val="32"/>
          <w:szCs w:val="32"/>
        </w:rPr>
        <w:t xml:space="preserve">. </w:t>
      </w:r>
      <w:r w:rsidR="00500799" w:rsidRPr="00500799">
        <w:rPr>
          <w:b/>
          <w:sz w:val="32"/>
          <w:szCs w:val="32"/>
        </w:rPr>
        <w:t>Испо</w:t>
      </w:r>
      <w:r w:rsidR="00500799">
        <w:rPr>
          <w:b/>
          <w:sz w:val="32"/>
          <w:szCs w:val="32"/>
        </w:rPr>
        <w:t>ль</w:t>
      </w:r>
      <w:r w:rsidR="00500799" w:rsidRPr="00500799">
        <w:rPr>
          <w:b/>
          <w:sz w:val="32"/>
          <w:szCs w:val="32"/>
        </w:rPr>
        <w:t>зование формул в условном форматировании</w:t>
      </w:r>
    </w:p>
    <w:p w:rsidR="000B6592" w:rsidRDefault="000B6592" w:rsidP="000B6592">
      <w:pPr>
        <w:spacing w:before="240"/>
      </w:pPr>
      <w:r>
        <w:t>Применяя</w:t>
      </w:r>
      <w:r w:rsidRPr="000B6592">
        <w:t xml:space="preserve"> условное форматирование</w:t>
      </w:r>
      <w:r w:rsidR="005F7056">
        <w:t>,</w:t>
      </w:r>
      <w:r w:rsidRPr="000B6592">
        <w:t xml:space="preserve"> </w:t>
      </w:r>
      <w:r>
        <w:t>как правило</w:t>
      </w:r>
      <w:r w:rsidR="005F7056">
        <w:t>,</w:t>
      </w:r>
      <w:r>
        <w:t xml:space="preserve"> использую</w:t>
      </w:r>
      <w:r w:rsidR="005F7056">
        <w:t>т</w:t>
      </w:r>
      <w:r>
        <w:t xml:space="preserve"> одну из основных возможностей, предоставляем</w:t>
      </w:r>
      <w:r w:rsidR="005F7056">
        <w:t>ых</w:t>
      </w:r>
      <w:r>
        <w:t xml:space="preserve"> </w:t>
      </w:r>
      <w:r>
        <w:rPr>
          <w:lang w:val="en-US"/>
        </w:rPr>
        <w:t>Excel</w:t>
      </w:r>
      <w:r>
        <w:t>:</w:t>
      </w:r>
    </w:p>
    <w:p w:rsidR="000B6592" w:rsidRDefault="005F7056" w:rsidP="000B6592">
      <w:pPr>
        <w:spacing w:before="240"/>
      </w:pPr>
      <w:r>
        <w:rPr>
          <w:noProof/>
        </w:rPr>
        <w:drawing>
          <wp:inline distT="0" distB="0" distL="0" distR="0">
            <wp:extent cx="6120765" cy="2654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92" w:rsidRDefault="005F7056" w:rsidP="00C94B72">
      <w:pPr>
        <w:spacing w:before="120"/>
      </w:pPr>
      <w:r>
        <w:t xml:space="preserve">Если правила, по которым </w:t>
      </w:r>
      <w:r w:rsidR="000B6592" w:rsidRPr="000B6592">
        <w:t>должн</w:t>
      </w:r>
      <w:r>
        <w:t>ы отбираться ячейки для условного форматирования,</w:t>
      </w:r>
      <w:r w:rsidR="000B6592" w:rsidRPr="000B6592">
        <w:t xml:space="preserve"> более сложны</w:t>
      </w:r>
      <w:r>
        <w:t>е</w:t>
      </w:r>
      <w:r w:rsidR="000B6592" w:rsidRPr="000B6592">
        <w:t>, для указания условий форматирования можно использовать логическую формулу. Например, можно сравнить значения</w:t>
      </w:r>
      <w:r>
        <w:t xml:space="preserve"> в ячейках</w:t>
      </w:r>
      <w:r w:rsidR="000B6592" w:rsidRPr="000B6592">
        <w:t xml:space="preserve"> с результатом, возвращенным функцией, или оценить данные в ячейках за пределами выделенного диапазона.</w:t>
      </w:r>
      <w:r w:rsidR="000B6592">
        <w:t xml:space="preserve"> В настоящем материале рассмотрено два примера использования</w:t>
      </w:r>
      <w:r w:rsidR="000B6592" w:rsidRPr="00817E68">
        <w:t xml:space="preserve"> </w:t>
      </w:r>
      <w:r w:rsidR="000B6592">
        <w:t xml:space="preserve">формул </w:t>
      </w:r>
      <w:r>
        <w:t>в</w:t>
      </w:r>
      <w:r w:rsidR="000B6592">
        <w:t xml:space="preserve"> </w:t>
      </w:r>
      <w:r w:rsidR="000B6592" w:rsidRPr="00817E68">
        <w:t>условно</w:t>
      </w:r>
      <w:r w:rsidR="000B6592">
        <w:t>м</w:t>
      </w:r>
      <w:r w:rsidR="000B6592" w:rsidRPr="00817E68">
        <w:t xml:space="preserve"> форматировани</w:t>
      </w:r>
      <w:r w:rsidR="000B6592">
        <w:t>и.</w:t>
      </w:r>
    </w:p>
    <w:p w:rsidR="00C94B72" w:rsidRPr="00C94B72" w:rsidRDefault="00C94B72" w:rsidP="00C94B72">
      <w:pPr>
        <w:spacing w:before="120"/>
      </w:pPr>
      <w:r>
        <w:t xml:space="preserve">В качестве примера используется </w:t>
      </w:r>
      <w:hyperlink r:id="rId9" w:history="1">
        <w:r w:rsidRPr="00C94B72">
          <w:rPr>
            <w:rStyle w:val="a3"/>
            <w:lang w:val="en-US"/>
          </w:rPr>
          <w:t>Excel</w:t>
        </w:r>
        <w:r w:rsidRPr="00C94B72">
          <w:rPr>
            <w:rStyle w:val="a3"/>
          </w:rPr>
          <w:t>-файл</w:t>
        </w:r>
      </w:hyperlink>
      <w:r>
        <w:t>, содержащий данные о курсе ЦБ РФ доллара США за 2008 и 2009 годы.</w:t>
      </w:r>
    </w:p>
    <w:p w:rsidR="000B6592" w:rsidRPr="000B6592" w:rsidRDefault="000B6592" w:rsidP="000B6592">
      <w:pPr>
        <w:spacing w:before="240"/>
        <w:rPr>
          <w:b/>
        </w:rPr>
      </w:pPr>
      <w:r w:rsidRPr="000B6592">
        <w:rPr>
          <w:b/>
        </w:rPr>
        <w:t xml:space="preserve">Выделение </w:t>
      </w:r>
      <w:r w:rsidR="00C94B72">
        <w:rPr>
          <w:b/>
        </w:rPr>
        <w:t xml:space="preserve">цветом </w:t>
      </w:r>
      <w:r w:rsidRPr="000B6592">
        <w:rPr>
          <w:b/>
        </w:rPr>
        <w:t>минимального и максимального значения диапазона</w:t>
      </w:r>
      <w:r w:rsidR="00C94B72">
        <w:rPr>
          <w:b/>
        </w:rPr>
        <w:t xml:space="preserve"> ячеек</w:t>
      </w:r>
    </w:p>
    <w:p w:rsidR="00C94B72" w:rsidRDefault="00C94B72" w:rsidP="00C94B72">
      <w:pPr>
        <w:spacing w:before="120"/>
      </w:pPr>
      <w:r>
        <w:t xml:space="preserve">Допустим, вам необходимо выделить на </w:t>
      </w:r>
      <w:proofErr w:type="gramStart"/>
      <w:r>
        <w:t>листе</w:t>
      </w:r>
      <w:proofErr w:type="gramEnd"/>
      <w:r>
        <w:t xml:space="preserve"> максимальное и минимальное значение курса </w:t>
      </w:r>
      <w:r w:rsidR="0076702E">
        <w:t xml:space="preserve">доллара </w:t>
      </w:r>
      <w:r>
        <w:t>в течение года.</w:t>
      </w:r>
    </w:p>
    <w:p w:rsidR="00C94B72" w:rsidRDefault="00C94B72" w:rsidP="00C94B72">
      <w:pPr>
        <w:pStyle w:val="a9"/>
        <w:numPr>
          <w:ilvl w:val="0"/>
          <w:numId w:val="31"/>
        </w:numPr>
        <w:spacing w:before="120"/>
      </w:pPr>
      <w:r>
        <w:t xml:space="preserve">Откройте лист «2009» </w:t>
      </w:r>
      <w:r>
        <w:rPr>
          <w:lang w:val="en-US"/>
        </w:rPr>
        <w:t>Excel</w:t>
      </w:r>
      <w:r>
        <w:t>-файла с примером.</w:t>
      </w:r>
    </w:p>
    <w:p w:rsidR="002A6B5D" w:rsidRDefault="002A6B5D" w:rsidP="00C94B72">
      <w:pPr>
        <w:pStyle w:val="a9"/>
        <w:numPr>
          <w:ilvl w:val="0"/>
          <w:numId w:val="31"/>
        </w:numPr>
        <w:spacing w:before="120"/>
      </w:pPr>
      <w:r>
        <w:t>Выделите диапазон ячеек</w:t>
      </w:r>
      <w:r w:rsidR="00C94B72">
        <w:t xml:space="preserve">; выберите на вкладке </w:t>
      </w:r>
      <w:proofErr w:type="gramStart"/>
      <w:r w:rsidR="00C94B72">
        <w:t>Главная</w:t>
      </w:r>
      <w:proofErr w:type="gramEnd"/>
      <w:r w:rsidR="00C94B72">
        <w:t xml:space="preserve"> «Условное форматирование» </w:t>
      </w:r>
      <w:r w:rsidR="00C94B72">
        <w:sym w:font="Wingdings" w:char="F0E8"/>
      </w:r>
      <w:r w:rsidR="00C94B72">
        <w:t xml:space="preserve"> «Создать правило»:</w:t>
      </w:r>
    </w:p>
    <w:p w:rsidR="00C94B72" w:rsidRDefault="00C94B72" w:rsidP="00C94B72">
      <w:pPr>
        <w:pStyle w:val="a9"/>
        <w:spacing w:before="120"/>
        <w:ind w:left="-240" w:firstLine="960"/>
      </w:pPr>
      <w:r>
        <w:rPr>
          <w:noProof/>
        </w:rPr>
        <w:drawing>
          <wp:inline distT="0" distB="0" distL="0" distR="0">
            <wp:extent cx="4400228" cy="3355848"/>
            <wp:effectExtent l="19050" t="0" r="3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05" cy="335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5D" w:rsidRDefault="00C94B72" w:rsidP="00C94B72">
      <w:pPr>
        <w:pStyle w:val="a9"/>
        <w:numPr>
          <w:ilvl w:val="0"/>
          <w:numId w:val="31"/>
        </w:numPr>
        <w:spacing w:before="120"/>
      </w:pPr>
      <w:r>
        <w:lastRenderedPageBreak/>
        <w:t>О</w:t>
      </w:r>
      <w:r w:rsidR="002A6B5D">
        <w:t>тобра</w:t>
      </w:r>
      <w:r>
        <w:t>зится</w:t>
      </w:r>
      <w:r w:rsidR="002A6B5D">
        <w:t xml:space="preserve"> диалоговое окно </w:t>
      </w:r>
      <w:r>
        <w:t>«Со</w:t>
      </w:r>
      <w:r w:rsidR="00CA7A03">
        <w:t>з</w:t>
      </w:r>
      <w:r>
        <w:t>дание</w:t>
      </w:r>
      <w:r w:rsidR="002A6B5D">
        <w:t xml:space="preserve"> правил</w:t>
      </w:r>
      <w:r>
        <w:t>а</w:t>
      </w:r>
      <w:r w:rsidR="002A6B5D">
        <w:t xml:space="preserve"> </w:t>
      </w:r>
      <w:r w:rsidR="00D81AA0">
        <w:t>форматирования»</w:t>
      </w:r>
      <w:r w:rsidR="0006365E">
        <w:t>; выберите опцию «Использовать формулу для определения форматируемых ячеек» и в поле «Форматировать значения, для которых следующая формула является истинной</w:t>
      </w:r>
      <w:proofErr w:type="gramStart"/>
      <w:r w:rsidR="0006365E">
        <w:t>:»</w:t>
      </w:r>
      <w:proofErr w:type="gramEnd"/>
      <w:r w:rsidR="0006365E">
        <w:t xml:space="preserve"> введите формулу для определения минимального значения:</w:t>
      </w:r>
    </w:p>
    <w:p w:rsidR="00C94B72" w:rsidRDefault="00CA7A03" w:rsidP="00C94B72">
      <w:pPr>
        <w:pStyle w:val="a9"/>
        <w:spacing w:before="120"/>
      </w:pPr>
      <w:r>
        <w:rPr>
          <w:noProof/>
        </w:rPr>
        <w:drawing>
          <wp:inline distT="0" distB="0" distL="0" distR="0">
            <wp:extent cx="3677001" cy="2681378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19" cy="268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5E" w:rsidRDefault="0006365E" w:rsidP="00C94B72">
      <w:pPr>
        <w:pStyle w:val="a9"/>
        <w:spacing w:before="120"/>
      </w:pPr>
      <w:r>
        <w:t>Помните, что ф</w:t>
      </w:r>
      <w:r w:rsidRPr="0006365E">
        <w:t>ормула должна начинаться со знака равенства</w:t>
      </w:r>
      <w:proofErr w:type="gramStart"/>
      <w:r w:rsidRPr="0006365E">
        <w:t xml:space="preserve"> (=) </w:t>
      </w:r>
      <w:proofErr w:type="gramEnd"/>
      <w:r w:rsidRPr="0006365E">
        <w:t>и должна возвращать логическое значение ИСТИНА (1) или ЛОЖЬ (0).</w:t>
      </w:r>
    </w:p>
    <w:p w:rsidR="0006365E" w:rsidRDefault="0006365E" w:rsidP="00C94B72">
      <w:pPr>
        <w:pStyle w:val="a9"/>
        <w:spacing w:before="120"/>
      </w:pPr>
      <w:r>
        <w:t>В нашем примере формула сравнивает текущее значение в ячейке (мы ввели ячейку В</w:t>
      </w:r>
      <w:proofErr w:type="gramStart"/>
      <w:r>
        <w:t>2</w:t>
      </w:r>
      <w:proofErr w:type="gramEnd"/>
      <w:r>
        <w:t>, соответствующую левому верхнему углу диапазона) с минимальным значением во всем диапазоне – МИН(</w:t>
      </w:r>
      <w:r w:rsidRPr="0006365E">
        <w:t>$B$2:$M$32)</w:t>
      </w:r>
      <w:r>
        <w:t>. Обратите внимание, что ячейка, значение в которой мы сравниваем – В</w:t>
      </w:r>
      <w:proofErr w:type="gramStart"/>
      <w:r>
        <w:t>2</w:t>
      </w:r>
      <w:proofErr w:type="gramEnd"/>
      <w:r>
        <w:t xml:space="preserve"> – введена как относительная ссылка. То есть, «пробегаясь» по диапазону </w:t>
      </w:r>
      <w:r w:rsidRPr="0006365E">
        <w:t>B2:</w:t>
      </w:r>
      <w:r>
        <w:t>M</w:t>
      </w:r>
      <w:r w:rsidRPr="0006365E">
        <w:t>32</w:t>
      </w:r>
      <w:r>
        <w:t>, это значение будет последовательно меняться от В</w:t>
      </w:r>
      <w:proofErr w:type="gramStart"/>
      <w:r>
        <w:t>2</w:t>
      </w:r>
      <w:proofErr w:type="gramEnd"/>
      <w:r>
        <w:t xml:space="preserve"> до М32. </w:t>
      </w:r>
      <w:proofErr w:type="gramStart"/>
      <w:r>
        <w:t xml:space="preserve">В то же время </w:t>
      </w:r>
      <w:r w:rsidR="00590F8C">
        <w:t>для определения минимального значения – МИН(</w:t>
      </w:r>
      <w:r w:rsidR="00590F8C" w:rsidRPr="0006365E">
        <w:t>$B$2:</w:t>
      </w:r>
      <w:proofErr w:type="gramEnd"/>
      <w:r w:rsidR="00590F8C" w:rsidRPr="0006365E">
        <w:t>$M$32)</w:t>
      </w:r>
      <w:r w:rsidR="00590F8C">
        <w:t xml:space="preserve"> – берутся абсолютные ссылки. То есть, значение в текущей ячейке постоянно сравнивается с минимальным значением в диапазоне </w:t>
      </w:r>
      <w:r w:rsidR="00590F8C" w:rsidRPr="0006365E">
        <w:t>B2:</w:t>
      </w:r>
      <w:r w:rsidR="00590F8C">
        <w:t>M</w:t>
      </w:r>
      <w:r w:rsidR="00590F8C" w:rsidRPr="0006365E">
        <w:t>32</w:t>
      </w:r>
      <w:r w:rsidR="00590F8C">
        <w:t>.</w:t>
      </w:r>
    </w:p>
    <w:p w:rsidR="002A6B5D" w:rsidRDefault="00590F8C" w:rsidP="00C94B72">
      <w:pPr>
        <w:pStyle w:val="a9"/>
        <w:numPr>
          <w:ilvl w:val="0"/>
          <w:numId w:val="31"/>
        </w:numPr>
        <w:spacing w:before="120"/>
      </w:pPr>
      <w:r>
        <w:t>Задайте параметры выделения ячейки, которая будет содержать минимальное значение в выделенном диапазоне. Щелкните на «Формат»:</w:t>
      </w:r>
    </w:p>
    <w:p w:rsidR="00590F8C" w:rsidRDefault="00590F8C" w:rsidP="00590F8C">
      <w:pPr>
        <w:pStyle w:val="a9"/>
        <w:spacing w:before="120"/>
      </w:pPr>
      <w:r>
        <w:rPr>
          <w:noProof/>
        </w:rPr>
        <w:drawing>
          <wp:inline distT="0" distB="0" distL="0" distR="0">
            <wp:extent cx="3679494" cy="2689454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78" cy="268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8C" w:rsidRDefault="00590F8C" w:rsidP="00C94B72">
      <w:pPr>
        <w:pStyle w:val="a9"/>
        <w:numPr>
          <w:ilvl w:val="0"/>
          <w:numId w:val="31"/>
        </w:numPr>
        <w:spacing w:before="120"/>
      </w:pPr>
      <w:r>
        <w:t>Поменяйте цвет шрифта:</w:t>
      </w:r>
    </w:p>
    <w:p w:rsidR="00590F8C" w:rsidRDefault="00590F8C" w:rsidP="00590F8C">
      <w:pPr>
        <w:pStyle w:val="a9"/>
        <w:spacing w:before="120"/>
      </w:pPr>
      <w:r>
        <w:rPr>
          <w:noProof/>
        </w:rPr>
        <w:lastRenderedPageBreak/>
        <w:drawing>
          <wp:inline distT="0" distB="0" distL="0" distR="0">
            <wp:extent cx="3715621" cy="3430298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55" cy="343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8C" w:rsidRDefault="00590F8C" w:rsidP="00590F8C">
      <w:pPr>
        <w:pStyle w:val="a9"/>
        <w:spacing w:before="120"/>
      </w:pPr>
      <w:r>
        <w:t>или заливки:</w:t>
      </w:r>
    </w:p>
    <w:p w:rsidR="00590F8C" w:rsidRDefault="00590F8C" w:rsidP="00590F8C">
      <w:pPr>
        <w:pStyle w:val="a9"/>
        <w:spacing w:before="120"/>
      </w:pPr>
      <w:r>
        <w:rPr>
          <w:noProof/>
        </w:rPr>
        <w:drawing>
          <wp:inline distT="0" distB="0" distL="0" distR="0">
            <wp:extent cx="3713613" cy="3404981"/>
            <wp:effectExtent l="19050" t="0" r="1137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25" cy="34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8C" w:rsidRDefault="00590F8C" w:rsidP="00590F8C">
      <w:pPr>
        <w:pStyle w:val="a9"/>
        <w:spacing w:before="120"/>
      </w:pPr>
      <w:r>
        <w:t xml:space="preserve">или и того, и другого </w:t>
      </w:r>
      <w:r>
        <w:sym w:font="Wingdings" w:char="F04A"/>
      </w:r>
    </w:p>
    <w:p w:rsidR="00590F8C" w:rsidRDefault="00590F8C" w:rsidP="00C94B72">
      <w:pPr>
        <w:pStyle w:val="a9"/>
        <w:numPr>
          <w:ilvl w:val="0"/>
          <w:numId w:val="31"/>
        </w:numPr>
        <w:spacing w:before="120"/>
      </w:pPr>
      <w:r>
        <w:t>Получилось!</w:t>
      </w:r>
    </w:p>
    <w:p w:rsidR="00590F8C" w:rsidRDefault="00590F8C" w:rsidP="00590F8C">
      <w:pPr>
        <w:pStyle w:val="a9"/>
        <w:spacing w:before="120"/>
      </w:pPr>
      <w:r>
        <w:rPr>
          <w:noProof/>
        </w:rPr>
        <w:lastRenderedPageBreak/>
        <w:drawing>
          <wp:inline distT="0" distB="0" distL="0" distR="0">
            <wp:extent cx="4044703" cy="3087398"/>
            <wp:effectExtent l="1905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43" cy="30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8C" w:rsidRDefault="00050D6F" w:rsidP="00C94B72">
      <w:pPr>
        <w:pStyle w:val="a9"/>
        <w:numPr>
          <w:ilvl w:val="0"/>
          <w:numId w:val="31"/>
        </w:numPr>
        <w:spacing w:before="120"/>
      </w:pPr>
      <w:r>
        <w:t>Создаем второе правило для выделения максимального значения:</w:t>
      </w:r>
    </w:p>
    <w:p w:rsidR="00050D6F" w:rsidRDefault="00050D6F" w:rsidP="00050D6F">
      <w:pPr>
        <w:pStyle w:val="a9"/>
        <w:spacing w:before="120"/>
      </w:pPr>
      <w:proofErr w:type="gramStart"/>
      <w:r w:rsidRPr="00050D6F">
        <w:t>=B2=МАКС($B$2:</w:t>
      </w:r>
      <w:proofErr w:type="gramEnd"/>
      <w:r w:rsidRPr="00050D6F">
        <w:t>$M$32)</w:t>
      </w:r>
    </w:p>
    <w:p w:rsidR="00050D6F" w:rsidRDefault="00050D6F" w:rsidP="00050D6F">
      <w:pPr>
        <w:pStyle w:val="a9"/>
        <w:spacing w:before="120"/>
      </w:pPr>
      <w:r>
        <w:rPr>
          <w:noProof/>
        </w:rPr>
        <w:drawing>
          <wp:inline distT="0" distB="0" distL="0" distR="0">
            <wp:extent cx="4108312" cy="3305763"/>
            <wp:effectExtent l="19050" t="0" r="6488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56" cy="330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6F" w:rsidRDefault="00050D6F" w:rsidP="00050D6F">
      <w:pPr>
        <w:pStyle w:val="a9"/>
        <w:spacing w:before="120"/>
      </w:pPr>
      <w:r>
        <w:t xml:space="preserve">Поэкспериментируйте, вводя в одной из ячеек диапазона значения больше максимального и меньше минимального. «Подкрашенные» ячейки будут «перебегать» на новые значения. </w:t>
      </w:r>
      <w:proofErr w:type="spellStart"/>
      <w:r>
        <w:t>Прикольно</w:t>
      </w:r>
      <w:proofErr w:type="spellEnd"/>
      <w:r>
        <w:t xml:space="preserve">! </w:t>
      </w:r>
      <w:r>
        <w:sym w:font="Wingdings" w:char="F04A"/>
      </w:r>
    </w:p>
    <w:p w:rsidR="007628CD" w:rsidRPr="000B6592" w:rsidRDefault="0076702E" w:rsidP="007628CD">
      <w:pPr>
        <w:spacing w:before="240"/>
        <w:rPr>
          <w:b/>
        </w:rPr>
      </w:pPr>
      <w:r>
        <w:rPr>
          <w:b/>
        </w:rPr>
        <w:t>Чередование цвета строк в таблице</w:t>
      </w:r>
    </w:p>
    <w:p w:rsidR="007628CD" w:rsidRDefault="007628CD" w:rsidP="007628CD">
      <w:pPr>
        <w:spacing w:before="120"/>
      </w:pPr>
      <w:r>
        <w:t xml:space="preserve">Часто для лучшего восприятия большой таблицы применяют фон для строк через одну. Если такое подкрашивание </w:t>
      </w:r>
      <w:r w:rsidR="007D31C0">
        <w:t>выполнить вручную, то после удаления или добавления строки вам потребуется перекрашивать всю таблицу. Условное форматирование позволяет создать обновляемое чередование цвета строк, которое «не слетит» после удаления или добавления новых строк.</w:t>
      </w:r>
    </w:p>
    <w:p w:rsidR="007D31C0" w:rsidRDefault="007D31C0" w:rsidP="007D31C0">
      <w:pPr>
        <w:pStyle w:val="a9"/>
        <w:numPr>
          <w:ilvl w:val="0"/>
          <w:numId w:val="32"/>
        </w:numPr>
        <w:spacing w:before="120"/>
      </w:pPr>
      <w:r>
        <w:t xml:space="preserve">Откройте лист «2008» </w:t>
      </w:r>
      <w:r>
        <w:rPr>
          <w:lang w:val="en-US"/>
        </w:rPr>
        <w:t>Excel</w:t>
      </w:r>
      <w:r>
        <w:t>-файла с примером.</w:t>
      </w:r>
    </w:p>
    <w:p w:rsidR="007D31C0" w:rsidRDefault="007D31C0" w:rsidP="007D31C0">
      <w:pPr>
        <w:pStyle w:val="a9"/>
        <w:numPr>
          <w:ilvl w:val="0"/>
          <w:numId w:val="32"/>
        </w:numPr>
        <w:spacing w:before="120"/>
      </w:pPr>
      <w:r>
        <w:t>Аналогично процедуре описанной выше создайте правило, использующее формулу:</w:t>
      </w:r>
    </w:p>
    <w:p w:rsidR="007D31C0" w:rsidRDefault="007D31C0" w:rsidP="007D31C0">
      <w:pPr>
        <w:pStyle w:val="a9"/>
        <w:spacing w:before="120"/>
      </w:pPr>
      <w:r w:rsidRPr="007D31C0">
        <w:t>=ОСТА</w:t>
      </w:r>
      <w:proofErr w:type="gramStart"/>
      <w:r w:rsidRPr="007D31C0">
        <w:t>Т(</w:t>
      </w:r>
      <w:proofErr w:type="gramEnd"/>
      <w:r w:rsidRPr="007D31C0">
        <w:t>СТРОКА();2)=1</w:t>
      </w:r>
    </w:p>
    <w:p w:rsidR="007D31C0" w:rsidRDefault="007D31C0" w:rsidP="007D31C0">
      <w:pPr>
        <w:pStyle w:val="a9"/>
        <w:spacing w:before="120"/>
      </w:pPr>
      <w:r w:rsidRPr="007D31C0">
        <w:lastRenderedPageBreak/>
        <w:drawing>
          <wp:inline distT="0" distB="0" distL="0" distR="0">
            <wp:extent cx="3257228" cy="2374273"/>
            <wp:effectExtent l="19050" t="0" r="322" b="0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45" cy="2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C0" w:rsidRDefault="007D31C0" w:rsidP="007D31C0">
      <w:pPr>
        <w:pStyle w:val="a9"/>
        <w:spacing w:before="120"/>
      </w:pPr>
      <w:r>
        <w:t>Здесь функция СТРОК</w:t>
      </w:r>
      <w:proofErr w:type="gramStart"/>
      <w:r>
        <w:t>А(</w:t>
      </w:r>
      <w:proofErr w:type="gramEnd"/>
      <w:r>
        <w:t xml:space="preserve">) определяет номер строки текущей ячейки, а функция ОСТАТ(СТРОКА();2) определяет четная строка (остаток от деления номера строки на двойку равен нулю) или нечетная (остаток равен единице). Если остаток = 1, формула </w:t>
      </w:r>
      <w:r w:rsidRPr="007D31C0">
        <w:t>ОСТА</w:t>
      </w:r>
      <w:proofErr w:type="gramStart"/>
      <w:r w:rsidRPr="007D31C0">
        <w:t>Т(</w:t>
      </w:r>
      <w:proofErr w:type="gramEnd"/>
      <w:r w:rsidRPr="007D31C0">
        <w:t>СТРОКА();2)=1</w:t>
      </w:r>
      <w:r>
        <w:t xml:space="preserve"> дает значение ИСТИНА, и строка подкрашивается; если остаток = 0, формула дает значение ЛОЖЬ, и строка остается </w:t>
      </w:r>
      <w:proofErr w:type="spellStart"/>
      <w:r>
        <w:t>незакрашенной</w:t>
      </w:r>
      <w:proofErr w:type="spellEnd"/>
      <w:r>
        <w:t>.</w:t>
      </w:r>
    </w:p>
    <w:p w:rsidR="007D31C0" w:rsidRDefault="0076702E" w:rsidP="007D31C0">
      <w:pPr>
        <w:pStyle w:val="a9"/>
        <w:numPr>
          <w:ilvl w:val="0"/>
          <w:numId w:val="32"/>
        </w:numPr>
        <w:spacing w:before="120"/>
      </w:pPr>
      <w:r>
        <w:t>Вот:</w:t>
      </w:r>
    </w:p>
    <w:p w:rsidR="0076702E" w:rsidRDefault="0076702E" w:rsidP="0076702E">
      <w:pPr>
        <w:pStyle w:val="a9"/>
        <w:spacing w:before="120"/>
      </w:pPr>
      <w:r>
        <w:rPr>
          <w:noProof/>
        </w:rPr>
        <w:drawing>
          <wp:inline distT="0" distB="0" distL="0" distR="0">
            <wp:extent cx="4135729" cy="3890910"/>
            <wp:effectExtent l="1905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82" cy="389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Default="0034600C" w:rsidP="0034600C">
      <w:pPr>
        <w:spacing w:before="120" w:after="120"/>
        <w:ind w:left="329"/>
      </w:pPr>
    </w:p>
    <w:sectPr w:rsidR="0034600C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A7" w:rsidRDefault="008864A7" w:rsidP="00364820">
      <w:r>
        <w:separator/>
      </w:r>
    </w:p>
  </w:endnote>
  <w:endnote w:type="continuationSeparator" w:id="0">
    <w:p w:rsidR="008864A7" w:rsidRDefault="008864A7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A7" w:rsidRDefault="008864A7" w:rsidP="00364820">
      <w:r>
        <w:separator/>
      </w:r>
    </w:p>
  </w:footnote>
  <w:footnote w:type="continuationSeparator" w:id="0">
    <w:p w:rsidR="008864A7" w:rsidRDefault="008864A7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A87"/>
    <w:multiLevelType w:val="hybridMultilevel"/>
    <w:tmpl w:val="18C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043D2"/>
    <w:multiLevelType w:val="hybridMultilevel"/>
    <w:tmpl w:val="18C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23"/>
  </w:num>
  <w:num w:numId="8">
    <w:abstractNumId w:val="30"/>
  </w:num>
  <w:num w:numId="9">
    <w:abstractNumId w:val="6"/>
  </w:num>
  <w:num w:numId="10">
    <w:abstractNumId w:val="15"/>
  </w:num>
  <w:num w:numId="11">
    <w:abstractNumId w:val="27"/>
  </w:num>
  <w:num w:numId="12">
    <w:abstractNumId w:val="28"/>
  </w:num>
  <w:num w:numId="13">
    <w:abstractNumId w:val="17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  <w:num w:numId="18">
    <w:abstractNumId w:val="14"/>
  </w:num>
  <w:num w:numId="19">
    <w:abstractNumId w:val="21"/>
  </w:num>
  <w:num w:numId="20">
    <w:abstractNumId w:val="18"/>
  </w:num>
  <w:num w:numId="21">
    <w:abstractNumId w:val="9"/>
  </w:num>
  <w:num w:numId="22">
    <w:abstractNumId w:val="20"/>
  </w:num>
  <w:num w:numId="23">
    <w:abstractNumId w:val="25"/>
  </w:num>
  <w:num w:numId="24">
    <w:abstractNumId w:val="29"/>
  </w:num>
  <w:num w:numId="25">
    <w:abstractNumId w:val="5"/>
  </w:num>
  <w:num w:numId="26">
    <w:abstractNumId w:val="22"/>
  </w:num>
  <w:num w:numId="27">
    <w:abstractNumId w:val="19"/>
  </w:num>
  <w:num w:numId="28">
    <w:abstractNumId w:val="26"/>
  </w:num>
  <w:num w:numId="29">
    <w:abstractNumId w:val="31"/>
  </w:num>
  <w:num w:numId="30">
    <w:abstractNumId w:val="16"/>
  </w:num>
  <w:num w:numId="31">
    <w:abstractNumId w:val="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465A3"/>
    <w:rsid w:val="00050D6F"/>
    <w:rsid w:val="00056969"/>
    <w:rsid w:val="000573F5"/>
    <w:rsid w:val="0006365E"/>
    <w:rsid w:val="00064739"/>
    <w:rsid w:val="00077B90"/>
    <w:rsid w:val="0008025C"/>
    <w:rsid w:val="00096974"/>
    <w:rsid w:val="000A52F4"/>
    <w:rsid w:val="000A6EF4"/>
    <w:rsid w:val="000B104F"/>
    <w:rsid w:val="000B41DE"/>
    <w:rsid w:val="000B6592"/>
    <w:rsid w:val="000D1C42"/>
    <w:rsid w:val="000D3732"/>
    <w:rsid w:val="000D44B8"/>
    <w:rsid w:val="000D7ED6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30D"/>
    <w:rsid w:val="002820FD"/>
    <w:rsid w:val="002A4A27"/>
    <w:rsid w:val="002A5232"/>
    <w:rsid w:val="002A6B5D"/>
    <w:rsid w:val="002A720E"/>
    <w:rsid w:val="002B0B66"/>
    <w:rsid w:val="002B2589"/>
    <w:rsid w:val="002E1D99"/>
    <w:rsid w:val="002E78FB"/>
    <w:rsid w:val="002F54CF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4177"/>
    <w:rsid w:val="004B516F"/>
    <w:rsid w:val="004C266B"/>
    <w:rsid w:val="004D4888"/>
    <w:rsid w:val="004E3421"/>
    <w:rsid w:val="004F11D0"/>
    <w:rsid w:val="004F2E3A"/>
    <w:rsid w:val="004F6DDC"/>
    <w:rsid w:val="00500799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539EC"/>
    <w:rsid w:val="0056585F"/>
    <w:rsid w:val="00565F2F"/>
    <w:rsid w:val="00590F8C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5F7056"/>
    <w:rsid w:val="00602122"/>
    <w:rsid w:val="00605760"/>
    <w:rsid w:val="006167DC"/>
    <w:rsid w:val="00616D05"/>
    <w:rsid w:val="00624853"/>
    <w:rsid w:val="006274F8"/>
    <w:rsid w:val="0063797E"/>
    <w:rsid w:val="00653D05"/>
    <w:rsid w:val="0065698E"/>
    <w:rsid w:val="0068693E"/>
    <w:rsid w:val="00693123"/>
    <w:rsid w:val="00694153"/>
    <w:rsid w:val="00696577"/>
    <w:rsid w:val="006A566B"/>
    <w:rsid w:val="006A56DB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28CD"/>
    <w:rsid w:val="00763F2C"/>
    <w:rsid w:val="00765CC1"/>
    <w:rsid w:val="0076702E"/>
    <w:rsid w:val="00772740"/>
    <w:rsid w:val="007747D9"/>
    <w:rsid w:val="0077602A"/>
    <w:rsid w:val="00785A72"/>
    <w:rsid w:val="00786168"/>
    <w:rsid w:val="00794546"/>
    <w:rsid w:val="00795E6F"/>
    <w:rsid w:val="00797015"/>
    <w:rsid w:val="007B7A76"/>
    <w:rsid w:val="007C1478"/>
    <w:rsid w:val="007C2536"/>
    <w:rsid w:val="007C2B69"/>
    <w:rsid w:val="007C61A8"/>
    <w:rsid w:val="007C7AC9"/>
    <w:rsid w:val="007D31C0"/>
    <w:rsid w:val="007D47CD"/>
    <w:rsid w:val="007E2C11"/>
    <w:rsid w:val="007E3D59"/>
    <w:rsid w:val="007F27ED"/>
    <w:rsid w:val="00803CB0"/>
    <w:rsid w:val="00814EB3"/>
    <w:rsid w:val="00817E68"/>
    <w:rsid w:val="008317E0"/>
    <w:rsid w:val="00832D6C"/>
    <w:rsid w:val="00847711"/>
    <w:rsid w:val="00851BB1"/>
    <w:rsid w:val="0085797B"/>
    <w:rsid w:val="0088415E"/>
    <w:rsid w:val="008864A7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00FB8"/>
    <w:rsid w:val="00C14E25"/>
    <w:rsid w:val="00C20560"/>
    <w:rsid w:val="00C21693"/>
    <w:rsid w:val="00C2746A"/>
    <w:rsid w:val="00C27C14"/>
    <w:rsid w:val="00C31B8B"/>
    <w:rsid w:val="00C34F4C"/>
    <w:rsid w:val="00C462DB"/>
    <w:rsid w:val="00C52BDC"/>
    <w:rsid w:val="00C61943"/>
    <w:rsid w:val="00C6715D"/>
    <w:rsid w:val="00C73614"/>
    <w:rsid w:val="00C85319"/>
    <w:rsid w:val="00C85515"/>
    <w:rsid w:val="00C86331"/>
    <w:rsid w:val="00C94B72"/>
    <w:rsid w:val="00CA228B"/>
    <w:rsid w:val="00CA7A03"/>
    <w:rsid w:val="00CC5D74"/>
    <w:rsid w:val="00CC672B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81AA0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4;&#1077;&#1088;%20&#1091;&#1089;&#1083;&#1086;&#1074;&#1085;&#1086;&#1075;&#1086;%20&#1092;&#1086;&#1088;&#1084;&#1072;&#1090;&#1080;&#1088;&#1086;&#1074;&#1072;&#1085;&#1080;&#1103;.xls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45CFAB75-9C24-46FD-97C8-CB9D2C14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3459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8</cp:revision>
  <cp:lastPrinted>2010-04-12T07:18:00Z</cp:lastPrinted>
  <dcterms:created xsi:type="dcterms:W3CDTF">2010-11-15T14:21:00Z</dcterms:created>
  <dcterms:modified xsi:type="dcterms:W3CDTF">2010-11-16T08:08:00Z</dcterms:modified>
</cp:coreProperties>
</file>