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CB" w:rsidRPr="00D321A4" w:rsidRDefault="000650CB" w:rsidP="00EC7720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D321A4">
        <w:rPr>
          <w:rFonts w:ascii="Times New Roman" w:hAnsi="Times New Roman" w:cs="Times New Roman"/>
          <w:b/>
          <w:sz w:val="28"/>
        </w:rPr>
        <w:t xml:space="preserve">Анализ основных финансовых показателей </w:t>
      </w:r>
      <w:proofErr w:type="spellStart"/>
      <w:r w:rsidRPr="00D321A4">
        <w:rPr>
          <w:rFonts w:ascii="Times New Roman" w:hAnsi="Times New Roman" w:cs="Times New Roman"/>
          <w:b/>
          <w:sz w:val="28"/>
        </w:rPr>
        <w:t>Ingram</w:t>
      </w:r>
      <w:proofErr w:type="spellEnd"/>
      <w:r w:rsidRPr="00D321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321A4">
        <w:rPr>
          <w:rFonts w:ascii="Times New Roman" w:hAnsi="Times New Roman" w:cs="Times New Roman"/>
          <w:b/>
          <w:sz w:val="28"/>
        </w:rPr>
        <w:t>Micro</w:t>
      </w:r>
      <w:proofErr w:type="spellEnd"/>
      <w:r w:rsidRPr="00D321A4">
        <w:rPr>
          <w:rFonts w:ascii="Times New Roman" w:hAnsi="Times New Roman" w:cs="Times New Roman"/>
          <w:b/>
          <w:sz w:val="28"/>
        </w:rPr>
        <w:t xml:space="preserve"> </w:t>
      </w:r>
    </w:p>
    <w:p w:rsidR="00EC7720" w:rsidRDefault="000650CB" w:rsidP="00D321A4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Pr="00D321A4">
          <w:rPr>
            <w:rStyle w:val="a6"/>
            <w:rFonts w:ascii="Times New Roman" w:eastAsia="Times New Roman" w:hAnsi="Times New Roman" w:cs="Times New Roman"/>
            <w:lang w:val="en-US" w:eastAsia="ru-RU"/>
          </w:rPr>
          <w:t>Ingram</w:t>
        </w:r>
        <w:r w:rsidRPr="00D321A4">
          <w:rPr>
            <w:rStyle w:val="a6"/>
            <w:rFonts w:ascii="Times New Roman" w:eastAsia="Times New Roman" w:hAnsi="Times New Roman" w:cs="Times New Roman"/>
            <w:lang w:eastAsia="ru-RU"/>
          </w:rPr>
          <w:t xml:space="preserve"> </w:t>
        </w:r>
        <w:r w:rsidRPr="00D321A4">
          <w:rPr>
            <w:rStyle w:val="a6"/>
            <w:rFonts w:ascii="Times New Roman" w:eastAsia="Times New Roman" w:hAnsi="Times New Roman" w:cs="Times New Roman"/>
            <w:lang w:val="en-US" w:eastAsia="ru-RU"/>
          </w:rPr>
          <w:t>Micro</w:t>
        </w:r>
        <w:r w:rsidRPr="00D321A4">
          <w:rPr>
            <w:rStyle w:val="a6"/>
            <w:rFonts w:ascii="Times New Roman" w:eastAsia="Times New Roman" w:hAnsi="Times New Roman" w:cs="Times New Roman"/>
            <w:lang w:eastAsia="ru-RU"/>
          </w:rPr>
          <w:t xml:space="preserve"> </w:t>
        </w:r>
        <w:r w:rsidRPr="00D321A4">
          <w:rPr>
            <w:rStyle w:val="a6"/>
            <w:rFonts w:ascii="Times New Roman" w:eastAsia="Times New Roman" w:hAnsi="Times New Roman" w:cs="Times New Roman"/>
            <w:lang w:val="en-US" w:eastAsia="ru-RU"/>
          </w:rPr>
          <w:t>Inc</w:t>
        </w:r>
        <w:r w:rsidRPr="00D321A4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</w:hyperlink>
      <w:r w:rsidRPr="00D321A4">
        <w:rPr>
          <w:rFonts w:ascii="Times New Roman" w:eastAsia="Times New Roman" w:hAnsi="Times New Roman" w:cs="Times New Roman"/>
          <w:color w:val="000000"/>
          <w:lang w:eastAsia="ru-RU"/>
        </w:rPr>
        <w:t xml:space="preserve"> – крупнейший в мире дистрибутор компьютерного оборудования. Является публичной компанией, поэтому финансовые отчеты </w:t>
      </w:r>
      <w:r w:rsidR="00747DD4" w:rsidRPr="00D321A4">
        <w:rPr>
          <w:rFonts w:ascii="Times New Roman" w:eastAsia="Times New Roman" w:hAnsi="Times New Roman" w:cs="Times New Roman"/>
          <w:color w:val="000000"/>
          <w:lang w:eastAsia="ru-RU"/>
        </w:rPr>
        <w:t>доступны на сайте</w:t>
      </w:r>
      <w:r w:rsidR="00D321A4" w:rsidRPr="00D321A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08AF" w:rsidRDefault="00D321A4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 основных финансовых показателей выполнен совместно со Светланой Кононец. При анализе использовались рекомендации Джулиан</w:t>
      </w:r>
      <w:r w:rsidR="00AB69D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Дент</w:t>
      </w:r>
      <w:r w:rsidR="00AB69D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321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9" w:history="1">
        <w:r w:rsidRPr="00AB69D2">
          <w:rPr>
            <w:rStyle w:val="a6"/>
            <w:rFonts w:ascii="Times New Roman" w:eastAsia="Times New Roman" w:hAnsi="Times New Roman" w:cs="Times New Roman"/>
            <w:lang w:eastAsia="ru-RU"/>
          </w:rPr>
          <w:t>«Все о дистрибуции. Управление каналами продаж</w:t>
        </w:r>
        <w:r w:rsidR="00AB69D2" w:rsidRPr="00AB69D2">
          <w:rPr>
            <w:rStyle w:val="a6"/>
            <w:rFonts w:ascii="Times New Roman" w:eastAsia="Times New Roman" w:hAnsi="Times New Roman" w:cs="Times New Roman"/>
            <w:lang w:eastAsia="ru-RU"/>
          </w:rPr>
          <w:t>»</w:t>
        </w:r>
      </w:hyperlink>
      <w:r w:rsidR="00AB69D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AB69D2">
        <w:rPr>
          <w:rFonts w:ascii="Times New Roman" w:eastAsia="Times New Roman" w:hAnsi="Times New Roman" w:cs="Times New Roman"/>
          <w:color w:val="000000"/>
          <w:lang w:eastAsia="ru-RU"/>
        </w:rPr>
        <w:t>Кирана</w:t>
      </w:r>
      <w:proofErr w:type="spellEnd"/>
      <w:r w:rsidR="00AB69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B69D2">
        <w:rPr>
          <w:rFonts w:ascii="Times New Roman" w:eastAsia="Times New Roman" w:hAnsi="Times New Roman" w:cs="Times New Roman"/>
          <w:color w:val="000000"/>
          <w:lang w:eastAsia="ru-RU"/>
        </w:rPr>
        <w:t>Уолша</w:t>
      </w:r>
      <w:proofErr w:type="spellEnd"/>
      <w:r w:rsidR="00AB69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0" w:history="1">
        <w:r w:rsidR="00AB69D2" w:rsidRPr="00AB69D2">
          <w:rPr>
            <w:rStyle w:val="a6"/>
            <w:rFonts w:ascii="Times New Roman" w:eastAsia="Times New Roman" w:hAnsi="Times New Roman" w:cs="Times New Roman"/>
            <w:lang w:eastAsia="ru-RU"/>
          </w:rPr>
          <w:t>«Ключевые показатели менеджмента»</w:t>
        </w:r>
      </w:hyperlink>
      <w:r w:rsidR="00AB69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69D2" w:rsidRDefault="00AB69D2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можно найти в файле </w:t>
      </w:r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финансовых показателей </w:t>
      </w:r>
      <w:proofErr w:type="spellStart"/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>Ingram</w:t>
      </w:r>
      <w:proofErr w:type="spellEnd"/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>Micro</w:t>
      </w:r>
      <w:proofErr w:type="spellEnd"/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C9268D">
        <w:rPr>
          <w:rFonts w:ascii="Times New Roman" w:eastAsia="Times New Roman" w:hAnsi="Times New Roman" w:cs="Times New Roman"/>
          <w:color w:val="000000"/>
          <w:lang w:val="en-US" w:eastAsia="ru-RU"/>
        </w:rPr>
        <w:t>xlsx</w:t>
      </w:r>
      <w:proofErr w:type="spellEnd"/>
      <w:r w:rsidR="00C9268D" w:rsidRPr="00C926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Excel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2007</w:t>
      </w:r>
      <w:r w:rsidR="00C926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268D" w:rsidRDefault="00DE4BC7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11682" cy="2477068"/>
            <wp:effectExtent l="19050" t="0" r="0" b="0"/>
            <wp:docPr id="6" name="Рисунок 5" descr="Отчет о прибылях и убытках и балан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прибылях и убытках и баланс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456" cy="247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8D" w:rsidRDefault="00C9268D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Рис. 1. Отчет о прибылях и убытках и баланс </w:t>
      </w:r>
      <w:proofErr w:type="spellStart"/>
      <w:r w:rsidRPr="00C9268D">
        <w:rPr>
          <w:rFonts w:ascii="Times New Roman" w:eastAsia="Times New Roman" w:hAnsi="Times New Roman" w:cs="Times New Roman"/>
          <w:color w:val="000000"/>
          <w:lang w:eastAsia="ru-RU"/>
        </w:rPr>
        <w:t>Ingram</w:t>
      </w:r>
      <w:proofErr w:type="spellEnd"/>
      <w:r w:rsidRPr="00C926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9268D">
        <w:rPr>
          <w:rFonts w:ascii="Times New Roman" w:eastAsia="Times New Roman" w:hAnsi="Times New Roman" w:cs="Times New Roman"/>
          <w:color w:val="000000"/>
          <w:lang w:eastAsia="ru-RU"/>
        </w:rPr>
        <w:t>Micro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Inc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за 2010-й год</w:t>
      </w:r>
    </w:p>
    <w:p w:rsidR="00C9268D" w:rsidRDefault="00EF38D3" w:rsidP="00EC772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Отчета о прибылях и убытках и баланса были рассчитаны следующие основные </w:t>
      </w:r>
      <w:r w:rsidRPr="00DE7A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показатели </w:t>
      </w:r>
      <w:r w:rsidR="00DE7A33">
        <w:rPr>
          <w:rFonts w:ascii="Times New Roman" w:eastAsia="Times New Roman" w:hAnsi="Times New Roman" w:cs="Times New Roman"/>
          <w:b/>
          <w:color w:val="000000"/>
          <w:lang w:eastAsia="ru-RU"/>
        </w:rPr>
        <w:t>прибыльности</w:t>
      </w:r>
      <w:r w:rsidRPr="00DE7A3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E7A33" w:rsidRDefault="00DE7A33" w:rsidP="00DE7A33">
      <w:pPr>
        <w:spacing w:after="120" w:line="240" w:lineRule="auto"/>
      </w:pPr>
      <w:r w:rsidRPr="00463914">
        <w:rPr>
          <w:highlight w:val="lightGray"/>
        </w:rPr>
        <w:t xml:space="preserve">Норма валовой прибыли = </w:t>
      </w:r>
      <w:r>
        <w:rPr>
          <w:highlight w:val="lightGray"/>
        </w:rPr>
        <w:br/>
      </w:r>
      <w:r w:rsidRPr="00463914">
        <w:rPr>
          <w:highlight w:val="lightGray"/>
        </w:rPr>
        <w:t>(Выручка – Себестоимость реализованной продукции) / Выручка *100%</w:t>
      </w:r>
    </w:p>
    <w:p w:rsidR="00DE7A33" w:rsidRPr="00463914" w:rsidRDefault="00DE7A33" w:rsidP="00DE7A33">
      <w:pPr>
        <w:spacing w:after="120" w:line="240" w:lineRule="auto"/>
      </w:pPr>
      <w:r w:rsidRPr="00463914">
        <w:rPr>
          <w:highlight w:val="lightGray"/>
        </w:rPr>
        <w:t xml:space="preserve">Норма </w:t>
      </w:r>
      <w:r>
        <w:rPr>
          <w:highlight w:val="lightGray"/>
        </w:rPr>
        <w:t>чистой</w:t>
      </w:r>
      <w:r w:rsidRPr="00463914">
        <w:rPr>
          <w:highlight w:val="lightGray"/>
        </w:rPr>
        <w:t xml:space="preserve"> прибыли = (Выручка – Себестоимость реализованной продукции</w:t>
      </w:r>
      <w:r>
        <w:rPr>
          <w:highlight w:val="lightGray"/>
        </w:rPr>
        <w:t xml:space="preserve"> – </w:t>
      </w:r>
      <w:r>
        <w:rPr>
          <w:highlight w:val="lightGray"/>
        </w:rPr>
        <w:br/>
        <w:t>Накладные расходы – Налоги</w:t>
      </w:r>
      <w:r w:rsidRPr="00463914">
        <w:rPr>
          <w:highlight w:val="lightGray"/>
        </w:rPr>
        <w:t>) / Выручка *100%</w:t>
      </w:r>
    </w:p>
    <w:tbl>
      <w:tblPr>
        <w:tblW w:w="54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20"/>
      </w:tblGrid>
      <w:tr w:rsidR="00DE7A33" w:rsidRPr="00DE7A33" w:rsidTr="00DE7A3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прибыльности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 валовой прибыли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5,47%</w:t>
            </w:r>
          </w:p>
        </w:tc>
      </w:tr>
      <w:tr w:rsidR="00DE7A33" w:rsidRPr="00DE7A33" w:rsidTr="00DE7A3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 чистой прибыли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0,92%</w:t>
            </w:r>
          </w:p>
        </w:tc>
      </w:tr>
    </w:tbl>
    <w:p w:rsidR="00DE7A33" w:rsidRPr="00DE7A33" w:rsidRDefault="00DE7A33" w:rsidP="00DE7A33">
      <w:pPr>
        <w:spacing w:before="120" w:after="120" w:line="240" w:lineRule="auto"/>
        <w:rPr>
          <w:rFonts w:ascii="Times New Roman" w:hAnsi="Times New Roman" w:cs="Times New Roman"/>
        </w:rPr>
      </w:pPr>
      <w:r w:rsidRPr="00DE7A33">
        <w:rPr>
          <w:rFonts w:ascii="Times New Roman" w:hAnsi="Times New Roman" w:cs="Times New Roman"/>
        </w:rPr>
        <w:t>Рис. 2 Показатели прибыльности</w:t>
      </w:r>
    </w:p>
    <w:p w:rsidR="00DE7A33" w:rsidRPr="00DE7A33" w:rsidRDefault="00DE7A33" w:rsidP="00DE7A3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DE7A33">
        <w:rPr>
          <w:rFonts w:ascii="Times New Roman" w:eastAsia="Times New Roman" w:hAnsi="Times New Roman" w:cs="Times New Roman"/>
          <w:b/>
          <w:color w:val="000000"/>
          <w:lang w:eastAsia="ru-RU"/>
        </w:rPr>
        <w:t>оказатели оборачиваемости:</w:t>
      </w:r>
    </w:p>
    <w:tbl>
      <w:tblPr>
        <w:tblW w:w="73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1120"/>
        <w:gridCol w:w="1120"/>
        <w:gridCol w:w="1323"/>
      </w:tblGrid>
      <w:tr w:rsidR="00DE7A33" w:rsidRPr="00DE7A33" w:rsidTr="00DE7A33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оборачиваемости, дней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4940" w:type="dxa"/>
            <w:gridSpan w:val="2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 погашения кредиторской задолженности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51,3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Товарные запасы в днях хранения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4940" w:type="dxa"/>
            <w:gridSpan w:val="2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 погашения дебиторской задолженности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43,7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Операционный цикл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24,9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53"/>
        </w:trPr>
        <w:tc>
          <w:tcPr>
            <w:tcW w:w="38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7A33" w:rsidRPr="00DE7A33" w:rsidTr="00DE7A33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Оборачиваемость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DE7A33" w:rsidRPr="00DE7A33" w:rsidRDefault="00DE7A33" w:rsidP="00DE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A33">
              <w:rPr>
                <w:rFonts w:ascii="Calibri" w:eastAsia="Times New Roman" w:hAnsi="Calibri" w:cs="Times New Roman"/>
                <w:color w:val="000000"/>
                <w:lang w:eastAsia="ru-RU"/>
              </w:rPr>
              <w:t>раз в год</w:t>
            </w:r>
          </w:p>
        </w:tc>
      </w:tr>
    </w:tbl>
    <w:p w:rsidR="00EF38D3" w:rsidRDefault="00EF38D3" w:rsidP="00DE7A3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Рис. </w:t>
      </w:r>
      <w:r w:rsidR="00DE7A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Показатели оборачиваемости</w:t>
      </w:r>
    </w:p>
    <w:p w:rsidR="00EF38D3" w:rsidRPr="00EF38D3" w:rsidRDefault="00EF38D3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Напомню формулы для расчета показателей оборачиваемости (их также можно найти в файле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Excel</w:t>
      </w:r>
      <w:r w:rsidRPr="00EF38D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F38D3" w:rsidRPr="00A77E95" w:rsidRDefault="00EF38D3" w:rsidP="00EF38D3">
      <w:pPr>
        <w:spacing w:after="120" w:line="240" w:lineRule="auto"/>
        <w:rPr>
          <w:highlight w:val="lightGray"/>
        </w:rPr>
      </w:pPr>
      <w:r>
        <w:rPr>
          <w:highlight w:val="lightGray"/>
        </w:rPr>
        <w:t>Период погашения кредиторской задолженности</w:t>
      </w:r>
      <w:r w:rsidRPr="00EF38D3">
        <w:rPr>
          <w:highlight w:val="lightGray"/>
        </w:rPr>
        <w:t xml:space="preserve"> </w:t>
      </w:r>
      <w:r>
        <w:rPr>
          <w:highlight w:val="lightGray"/>
        </w:rPr>
        <w:t xml:space="preserve">= </w:t>
      </w:r>
      <w:r w:rsidRPr="00EF38D3">
        <w:rPr>
          <w:highlight w:val="lightGray"/>
        </w:rPr>
        <w:br/>
      </w:r>
      <w:r>
        <w:rPr>
          <w:highlight w:val="lightGray"/>
        </w:rPr>
        <w:t xml:space="preserve">Счета к оплате / Себестоимость </w:t>
      </w:r>
      <w:r w:rsidRPr="00463914">
        <w:rPr>
          <w:highlight w:val="lightGray"/>
        </w:rPr>
        <w:t>реализованной продукции</w:t>
      </w:r>
      <w:r>
        <w:rPr>
          <w:highlight w:val="lightGray"/>
        </w:rPr>
        <w:t xml:space="preserve"> * 365 дней</w:t>
      </w:r>
    </w:p>
    <w:p w:rsidR="00EF38D3" w:rsidRPr="00A77E95" w:rsidRDefault="00EF38D3" w:rsidP="00EF38D3">
      <w:pPr>
        <w:spacing w:after="120" w:line="240" w:lineRule="auto"/>
        <w:rPr>
          <w:highlight w:val="lightGray"/>
        </w:rPr>
      </w:pPr>
      <w:r>
        <w:rPr>
          <w:highlight w:val="lightGray"/>
        </w:rPr>
        <w:t>Товарные запасы в днях хранения</w:t>
      </w:r>
      <w:r w:rsidRPr="00A77E95">
        <w:rPr>
          <w:highlight w:val="lightGray"/>
        </w:rPr>
        <w:t xml:space="preserve"> </w:t>
      </w:r>
      <w:r>
        <w:rPr>
          <w:highlight w:val="lightGray"/>
        </w:rPr>
        <w:t xml:space="preserve">= </w:t>
      </w:r>
      <w:r w:rsidRPr="00EF38D3">
        <w:rPr>
          <w:highlight w:val="lightGray"/>
        </w:rPr>
        <w:br/>
      </w:r>
      <w:r>
        <w:rPr>
          <w:highlight w:val="lightGray"/>
        </w:rPr>
        <w:t xml:space="preserve">Складские запасы / Себестоимость </w:t>
      </w:r>
      <w:r w:rsidRPr="00463914">
        <w:rPr>
          <w:highlight w:val="lightGray"/>
        </w:rPr>
        <w:t>реализованной продукции</w:t>
      </w:r>
      <w:r>
        <w:rPr>
          <w:highlight w:val="lightGray"/>
        </w:rPr>
        <w:t xml:space="preserve"> * 365 дней</w:t>
      </w:r>
    </w:p>
    <w:p w:rsidR="00EF38D3" w:rsidRPr="00A77E95" w:rsidRDefault="00EF38D3" w:rsidP="00EF38D3">
      <w:pPr>
        <w:spacing w:after="120" w:line="240" w:lineRule="auto"/>
        <w:rPr>
          <w:highlight w:val="lightGray"/>
        </w:rPr>
      </w:pPr>
      <w:r>
        <w:rPr>
          <w:highlight w:val="lightGray"/>
        </w:rPr>
        <w:lastRenderedPageBreak/>
        <w:t>Период погашения дебиторской задолженности</w:t>
      </w:r>
      <w:r w:rsidRPr="00EF38D3">
        <w:rPr>
          <w:highlight w:val="lightGray"/>
        </w:rPr>
        <w:t xml:space="preserve"> </w:t>
      </w:r>
      <w:r>
        <w:rPr>
          <w:highlight w:val="lightGray"/>
        </w:rPr>
        <w:t xml:space="preserve">= </w:t>
      </w:r>
      <w:r w:rsidRPr="00EF38D3">
        <w:rPr>
          <w:highlight w:val="lightGray"/>
        </w:rPr>
        <w:br/>
      </w:r>
      <w:r>
        <w:rPr>
          <w:highlight w:val="lightGray"/>
        </w:rPr>
        <w:t>Сумма дебиторской задолженности / Выручка * 365 дней</w:t>
      </w:r>
    </w:p>
    <w:p w:rsidR="00C9268D" w:rsidRDefault="00C9268D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Более наглядно цикл оборотного капитала можно представить графически</w:t>
      </w:r>
    </w:p>
    <w:p w:rsidR="00C9268D" w:rsidRDefault="00C9268D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50149" cy="2231409"/>
            <wp:effectExtent l="19050" t="0" r="0" b="0"/>
            <wp:docPr id="5" name="Рисунок 4" descr="Цикл оборотного капита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 оборотного капитал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76" cy="22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8D" w:rsidRDefault="00C9268D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Рис. </w:t>
      </w:r>
      <w:r w:rsidR="00DE7A3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Цикл оборотного капитала</w:t>
      </w:r>
    </w:p>
    <w:p w:rsidR="00EF38D3" w:rsidRPr="00EF38D3" w:rsidRDefault="00EF38D3" w:rsidP="00EC772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38D3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Показатели доходности:</w:t>
      </w:r>
    </w:p>
    <w:p w:rsidR="00EF38D3" w:rsidRDefault="00EF38D3" w:rsidP="00EF38D3">
      <w:pPr>
        <w:spacing w:after="120" w:line="240" w:lineRule="auto"/>
        <w:rPr>
          <w:highlight w:val="lightGray"/>
        </w:rPr>
      </w:pPr>
      <w:r>
        <w:rPr>
          <w:highlight w:val="lightGray"/>
        </w:rPr>
        <w:t xml:space="preserve">Доходность совокупных активов, </w:t>
      </w:r>
      <w:r>
        <w:rPr>
          <w:highlight w:val="lightGray"/>
          <w:lang w:val="en-US"/>
        </w:rPr>
        <w:t>ROTA</w:t>
      </w:r>
      <w:r>
        <w:rPr>
          <w:highlight w:val="lightGray"/>
        </w:rPr>
        <w:t xml:space="preserve"> = </w:t>
      </w:r>
      <w:r>
        <w:rPr>
          <w:highlight w:val="lightGray"/>
        </w:rPr>
        <w:br/>
        <w:t>Валовая прибыль / Совокупные активы</w:t>
      </w:r>
    </w:p>
    <w:p w:rsidR="00EF38D3" w:rsidRPr="00EF38D3" w:rsidRDefault="00EF38D3" w:rsidP="00EF38D3">
      <w:pPr>
        <w:spacing w:after="120" w:line="240" w:lineRule="auto"/>
        <w:rPr>
          <w:highlight w:val="lightGray"/>
        </w:rPr>
      </w:pPr>
      <w:r>
        <w:rPr>
          <w:highlight w:val="lightGray"/>
        </w:rPr>
        <w:t xml:space="preserve">Доходность собственного капитала, </w:t>
      </w:r>
      <w:r>
        <w:rPr>
          <w:highlight w:val="lightGray"/>
          <w:lang w:val="en-US"/>
        </w:rPr>
        <w:t>ROE</w:t>
      </w:r>
      <w:r>
        <w:rPr>
          <w:highlight w:val="lightGray"/>
        </w:rPr>
        <w:t xml:space="preserve"> = </w:t>
      </w:r>
      <w:r>
        <w:rPr>
          <w:highlight w:val="lightGray"/>
        </w:rPr>
        <w:br/>
        <w:t xml:space="preserve">Доходы после налогообложения / Собственный </w:t>
      </w:r>
      <w:r w:rsidRPr="00EF38D3">
        <w:rPr>
          <w:highlight w:val="lightGray"/>
        </w:rPr>
        <w:t>[</w:t>
      </w:r>
      <w:r>
        <w:rPr>
          <w:highlight w:val="lightGray"/>
        </w:rPr>
        <w:t>уставной</w:t>
      </w:r>
      <w:r w:rsidRPr="00EF38D3">
        <w:rPr>
          <w:highlight w:val="lightGray"/>
        </w:rPr>
        <w:t>]</w:t>
      </w:r>
      <w:r>
        <w:rPr>
          <w:highlight w:val="lightGray"/>
        </w:rPr>
        <w:t xml:space="preserve"> капитал</w:t>
      </w:r>
    </w:p>
    <w:tbl>
      <w:tblPr>
        <w:tblW w:w="54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20"/>
      </w:tblGrid>
      <w:tr w:rsidR="00EF38D3" w:rsidRPr="00EF38D3" w:rsidTr="00EF38D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3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доходности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38D3" w:rsidRPr="00EF38D3" w:rsidTr="00EF38D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8D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Доходность совокупных активов, ROTA</w:t>
            </w:r>
          </w:p>
        </w:tc>
        <w:tc>
          <w:tcPr>
            <w:tcW w:w="11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8D3">
              <w:rPr>
                <w:rFonts w:ascii="Calibri" w:eastAsia="Times New Roman" w:hAnsi="Calibri" w:cs="Times New Roman"/>
                <w:color w:val="000000"/>
                <w:lang w:eastAsia="ru-RU"/>
              </w:rPr>
              <w:t>20,8%</w:t>
            </w:r>
          </w:p>
        </w:tc>
      </w:tr>
      <w:tr w:rsidR="00EF38D3" w:rsidRPr="00EF38D3" w:rsidTr="00EF38D3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8D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Доходность собственного капитала, ROE</w:t>
            </w:r>
          </w:p>
        </w:tc>
        <w:tc>
          <w:tcPr>
            <w:tcW w:w="1120" w:type="dxa"/>
            <w:shd w:val="clear" w:color="auto" w:fill="auto"/>
            <w:hideMark/>
          </w:tcPr>
          <w:p w:rsidR="00EF38D3" w:rsidRPr="00EF38D3" w:rsidRDefault="00EF38D3" w:rsidP="00EF3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8D3">
              <w:rPr>
                <w:rFonts w:ascii="Calibri" w:eastAsia="Times New Roman" w:hAnsi="Calibri" w:cs="Times New Roman"/>
                <w:color w:val="000000"/>
                <w:lang w:eastAsia="ru-RU"/>
              </w:rPr>
              <w:t>9,8%</w:t>
            </w:r>
          </w:p>
        </w:tc>
      </w:tr>
    </w:tbl>
    <w:p w:rsidR="00EF38D3" w:rsidRDefault="00EF38D3" w:rsidP="00EF38D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Рис. </w:t>
      </w:r>
      <w:r w:rsidR="00DE7A3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Показатели доходности</w:t>
      </w:r>
    </w:p>
    <w:p w:rsidR="00EF38D3" w:rsidRPr="00DE4BC7" w:rsidRDefault="00EF38D3" w:rsidP="00EF38D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4BC7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Показатели ликвидности</w:t>
      </w:r>
      <w:r w:rsidR="00DE4BC7" w:rsidRPr="00DE4BC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E4BC7" w:rsidRDefault="00DE4BC7" w:rsidP="00DE4BC7">
      <w:pPr>
        <w:spacing w:after="120" w:line="240" w:lineRule="auto"/>
        <w:rPr>
          <w:rFonts w:ascii="Times New Roman" w:hAnsi="Times New Roman" w:cs="Times New Roman"/>
        </w:rPr>
      </w:pPr>
      <w:r w:rsidRPr="00DE4BC7">
        <w:rPr>
          <w:rFonts w:ascii="Times New Roman" w:hAnsi="Times New Roman" w:cs="Times New Roman"/>
          <w:highlight w:val="lightGray"/>
        </w:rPr>
        <w:t xml:space="preserve">Коэффициент текущей ликвидности = </w:t>
      </w:r>
      <w:r>
        <w:rPr>
          <w:rFonts w:ascii="Times New Roman" w:hAnsi="Times New Roman" w:cs="Times New Roman"/>
          <w:highlight w:val="lightGray"/>
        </w:rPr>
        <w:br/>
      </w:r>
      <w:r w:rsidRPr="00DE4BC7">
        <w:rPr>
          <w:rFonts w:ascii="Times New Roman" w:hAnsi="Times New Roman" w:cs="Times New Roman"/>
          <w:highlight w:val="lightGray"/>
        </w:rPr>
        <w:t>Оборотные активы / Краткосрочные обязательства</w:t>
      </w:r>
    </w:p>
    <w:p w:rsidR="00DE4BC7" w:rsidRPr="00DE4BC7" w:rsidRDefault="00DE4BC7" w:rsidP="00DE4BC7">
      <w:pPr>
        <w:spacing w:after="120" w:line="240" w:lineRule="auto"/>
        <w:rPr>
          <w:rFonts w:ascii="Times New Roman" w:hAnsi="Times New Roman" w:cs="Times New Roman"/>
        </w:rPr>
      </w:pPr>
      <w:r w:rsidRPr="00DE4BC7">
        <w:rPr>
          <w:rFonts w:ascii="Times New Roman" w:hAnsi="Times New Roman" w:cs="Times New Roman"/>
          <w:highlight w:val="lightGray"/>
        </w:rPr>
        <w:t xml:space="preserve">Коэффициент срочной ликвидности = </w:t>
      </w:r>
      <w:r>
        <w:rPr>
          <w:rFonts w:ascii="Times New Roman" w:hAnsi="Times New Roman" w:cs="Times New Roman"/>
          <w:highlight w:val="lightGray"/>
        </w:rPr>
        <w:br/>
      </w:r>
      <w:r w:rsidRPr="00DE4BC7">
        <w:rPr>
          <w:rFonts w:ascii="Times New Roman" w:hAnsi="Times New Roman" w:cs="Times New Roman"/>
          <w:highlight w:val="lightGray"/>
        </w:rPr>
        <w:t>(Оборотные активы – Товарно-материальные запасы) / Краткосрочные обязательства</w:t>
      </w:r>
    </w:p>
    <w:tbl>
      <w:tblPr>
        <w:tblW w:w="54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20"/>
      </w:tblGrid>
      <w:tr w:rsidR="00DE4BC7" w:rsidRPr="00DE4BC7" w:rsidTr="00DE4BC7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B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ликвидности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E4BC7" w:rsidRPr="00DE4BC7" w:rsidTr="00DE4BC7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B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Коэффициент текущей ликвидности </w:t>
            </w:r>
          </w:p>
        </w:tc>
        <w:tc>
          <w:tcPr>
            <w:tcW w:w="11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BC7">
              <w:rPr>
                <w:rFonts w:ascii="Calibri" w:eastAsia="Times New Roman" w:hAnsi="Calibri" w:cs="Times New Roman"/>
                <w:color w:val="000000"/>
                <w:lang w:eastAsia="ru-RU"/>
              </w:rPr>
              <w:t>1,51</w:t>
            </w:r>
          </w:p>
        </w:tc>
      </w:tr>
      <w:tr w:rsidR="00DE4BC7" w:rsidRPr="00DE4BC7" w:rsidTr="00DE4BC7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BC7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срочной ликвидности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DE4BC7" w:rsidRPr="00DE4BC7" w:rsidRDefault="00DE4BC7" w:rsidP="00DE4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BC7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</w:tr>
    </w:tbl>
    <w:p w:rsidR="00DE4BC7" w:rsidRDefault="00DE4BC7" w:rsidP="00DE4B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Рис. </w:t>
      </w:r>
      <w:r w:rsidR="00DE7A33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Показатели ликвидности</w:t>
      </w:r>
    </w:p>
    <w:p w:rsidR="00DE4BC7" w:rsidRPr="00DE4BC7" w:rsidRDefault="00DE4BC7" w:rsidP="00DE4BC7">
      <w:pPr>
        <w:spacing w:after="120" w:line="240" w:lineRule="auto"/>
        <w:rPr>
          <w:rFonts w:ascii="Times New Roman" w:hAnsi="Times New Roman" w:cs="Times New Roman"/>
        </w:rPr>
      </w:pPr>
    </w:p>
    <w:p w:rsidR="00DE4BC7" w:rsidRDefault="00DE4BC7" w:rsidP="00EF38D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8D3" w:rsidRPr="00C9268D" w:rsidRDefault="00EF38D3" w:rsidP="00EC77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F38D3" w:rsidRPr="00C9268D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C7" w:rsidRDefault="00DE4BC7" w:rsidP="00E35D42">
      <w:pPr>
        <w:spacing w:after="0" w:line="240" w:lineRule="auto"/>
      </w:pPr>
      <w:r>
        <w:separator/>
      </w:r>
    </w:p>
  </w:endnote>
  <w:endnote w:type="continuationSeparator" w:id="0">
    <w:p w:rsidR="00DE4BC7" w:rsidRDefault="00DE4BC7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C7" w:rsidRDefault="00DE4BC7" w:rsidP="00E35D42">
      <w:pPr>
        <w:spacing w:after="0" w:line="240" w:lineRule="auto"/>
      </w:pPr>
      <w:r>
        <w:separator/>
      </w:r>
    </w:p>
  </w:footnote>
  <w:footnote w:type="continuationSeparator" w:id="0">
    <w:p w:rsidR="00DE4BC7" w:rsidRDefault="00DE4BC7" w:rsidP="00E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124C3"/>
    <w:rsid w:val="00063537"/>
    <w:rsid w:val="000650CB"/>
    <w:rsid w:val="000E58E3"/>
    <w:rsid w:val="00107E34"/>
    <w:rsid w:val="001258E5"/>
    <w:rsid w:val="001407CF"/>
    <w:rsid w:val="001473F1"/>
    <w:rsid w:val="001A18C8"/>
    <w:rsid w:val="001B67D9"/>
    <w:rsid w:val="001D11D7"/>
    <w:rsid w:val="001E49D5"/>
    <w:rsid w:val="002C0B37"/>
    <w:rsid w:val="0031672C"/>
    <w:rsid w:val="0035121A"/>
    <w:rsid w:val="003A1279"/>
    <w:rsid w:val="003A543B"/>
    <w:rsid w:val="003A7EBF"/>
    <w:rsid w:val="00426C43"/>
    <w:rsid w:val="0049749C"/>
    <w:rsid w:val="004C51D0"/>
    <w:rsid w:val="004D53A0"/>
    <w:rsid w:val="004F766E"/>
    <w:rsid w:val="00502300"/>
    <w:rsid w:val="0055126D"/>
    <w:rsid w:val="0056077E"/>
    <w:rsid w:val="00577BAE"/>
    <w:rsid w:val="005A7883"/>
    <w:rsid w:val="005B078C"/>
    <w:rsid w:val="005F111A"/>
    <w:rsid w:val="006111E5"/>
    <w:rsid w:val="00625734"/>
    <w:rsid w:val="006267B0"/>
    <w:rsid w:val="00646E1A"/>
    <w:rsid w:val="006665FF"/>
    <w:rsid w:val="0068052B"/>
    <w:rsid w:val="00686484"/>
    <w:rsid w:val="0069024E"/>
    <w:rsid w:val="006A3A3E"/>
    <w:rsid w:val="006C4D70"/>
    <w:rsid w:val="00722658"/>
    <w:rsid w:val="00747DD4"/>
    <w:rsid w:val="007941D5"/>
    <w:rsid w:val="007972FB"/>
    <w:rsid w:val="007E510C"/>
    <w:rsid w:val="00821912"/>
    <w:rsid w:val="008F35BF"/>
    <w:rsid w:val="00930C35"/>
    <w:rsid w:val="009426A1"/>
    <w:rsid w:val="009909BB"/>
    <w:rsid w:val="00997331"/>
    <w:rsid w:val="009A0E6E"/>
    <w:rsid w:val="009C23B2"/>
    <w:rsid w:val="009E66C6"/>
    <w:rsid w:val="009F71DA"/>
    <w:rsid w:val="00A115CA"/>
    <w:rsid w:val="00A62835"/>
    <w:rsid w:val="00A934F7"/>
    <w:rsid w:val="00AA7FCD"/>
    <w:rsid w:val="00AB69D2"/>
    <w:rsid w:val="00AE1C5D"/>
    <w:rsid w:val="00AE5E7D"/>
    <w:rsid w:val="00B108AF"/>
    <w:rsid w:val="00B51280"/>
    <w:rsid w:val="00B702E1"/>
    <w:rsid w:val="00B7069C"/>
    <w:rsid w:val="00B71C88"/>
    <w:rsid w:val="00B80843"/>
    <w:rsid w:val="00B82FD3"/>
    <w:rsid w:val="00B86AFE"/>
    <w:rsid w:val="00BA2E07"/>
    <w:rsid w:val="00BC4575"/>
    <w:rsid w:val="00BE7470"/>
    <w:rsid w:val="00C45975"/>
    <w:rsid w:val="00C71F8E"/>
    <w:rsid w:val="00C7241D"/>
    <w:rsid w:val="00C7551F"/>
    <w:rsid w:val="00C848F5"/>
    <w:rsid w:val="00C9268D"/>
    <w:rsid w:val="00CC3A55"/>
    <w:rsid w:val="00CC57F1"/>
    <w:rsid w:val="00CD7AE1"/>
    <w:rsid w:val="00CE4F0B"/>
    <w:rsid w:val="00CF42E3"/>
    <w:rsid w:val="00D25E8D"/>
    <w:rsid w:val="00D321A4"/>
    <w:rsid w:val="00DA42FD"/>
    <w:rsid w:val="00DC4B7A"/>
    <w:rsid w:val="00DE4BC7"/>
    <w:rsid w:val="00DE7A33"/>
    <w:rsid w:val="00E3182D"/>
    <w:rsid w:val="00E35D42"/>
    <w:rsid w:val="00E43386"/>
    <w:rsid w:val="00E96A23"/>
    <w:rsid w:val="00EC7720"/>
    <w:rsid w:val="00ED6FB4"/>
    <w:rsid w:val="00EF38D3"/>
    <w:rsid w:val="00F94DBC"/>
    <w:rsid w:val="00FB2DD9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rammicr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LCID>0</b:LC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LCID>0</b:LC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LCID>0</b:LC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F797E817-F8A3-4013-A5D6-B9584C1D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4</cp:revision>
  <dcterms:created xsi:type="dcterms:W3CDTF">2011-06-06T06:18:00Z</dcterms:created>
  <dcterms:modified xsi:type="dcterms:W3CDTF">2011-06-06T09:35:00Z</dcterms:modified>
</cp:coreProperties>
</file>