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56" w:rsidRPr="00523356" w:rsidRDefault="00523356" w:rsidP="00523356">
      <w:pPr>
        <w:spacing w:after="240" w:line="240" w:lineRule="auto"/>
        <w:rPr>
          <w:b/>
          <w:sz w:val="28"/>
        </w:rPr>
      </w:pPr>
      <w:r w:rsidRPr="00523356">
        <w:rPr>
          <w:b/>
          <w:sz w:val="28"/>
        </w:rPr>
        <w:t>Колебания курса рубля по отношению к доллару не подчиняются нормальному распределению</w:t>
      </w:r>
    </w:p>
    <w:p w:rsidR="00523356" w:rsidRDefault="00523356" w:rsidP="00523356">
      <w:pPr>
        <w:spacing w:after="120" w:line="240" w:lineRule="auto"/>
      </w:pPr>
      <w:r>
        <w:t xml:space="preserve">Раззадоренный </w:t>
      </w:r>
      <w:r>
        <w:sym w:font="Wingdings" w:char="F04A"/>
      </w:r>
      <w:r>
        <w:t xml:space="preserve"> книгой Бенуа Мандельброта </w:t>
      </w:r>
      <w:hyperlink r:id="rId7" w:history="1">
        <w:r w:rsidRPr="00523356">
          <w:rPr>
            <w:rStyle w:val="a3"/>
          </w:rPr>
          <w:t>«(Не</w:t>
        </w:r>
        <w:proofErr w:type="gramStart"/>
        <w:r w:rsidRPr="00523356">
          <w:rPr>
            <w:rStyle w:val="a3"/>
          </w:rPr>
          <w:t>)п</w:t>
        </w:r>
        <w:proofErr w:type="gramEnd"/>
        <w:r w:rsidRPr="00523356">
          <w:rPr>
            <w:rStyle w:val="a3"/>
          </w:rPr>
          <w:t>ослушные рынки: фрактальная революция в финансах»</w:t>
        </w:r>
      </w:hyperlink>
      <w:r w:rsidR="00611115">
        <w:t>, я решил провести какой</w:t>
      </w:r>
      <w:r>
        <w:t xml:space="preserve">-нибудь </w:t>
      </w:r>
      <w:r w:rsidR="00611115">
        <w:t xml:space="preserve">собственный анализ. Напомню, Мандельброт утверждает, что колебания на рынках акций, валют, опционов и т.п. выходят далеко за границы нормального распределения. То есть, если взять </w:t>
      </w:r>
      <w:r w:rsidR="00611115" w:rsidRPr="00C03667">
        <w:rPr>
          <w:i/>
        </w:rPr>
        <w:t>ежедневные</w:t>
      </w:r>
      <w:r w:rsidR="00611115">
        <w:t xml:space="preserve"> изменения какого-либо </w:t>
      </w:r>
      <w:r w:rsidR="00C03667">
        <w:t>рыночного инструмента</w:t>
      </w:r>
      <w:r w:rsidR="00C03667">
        <w:rPr>
          <w:rStyle w:val="a6"/>
        </w:rPr>
        <w:footnoteReference w:id="1"/>
      </w:r>
      <w:r w:rsidR="00611115">
        <w:t xml:space="preserve"> и найти среднее этих изменени</w:t>
      </w:r>
      <w:r w:rsidR="00C03667">
        <w:t>й</w:t>
      </w:r>
      <w:r w:rsidR="00611115">
        <w:t xml:space="preserve"> </w:t>
      </w:r>
      <w:r w:rsidR="00611115">
        <w:sym w:font="Symbol" w:char="F06D"/>
      </w:r>
      <w:r w:rsidR="00611115">
        <w:t xml:space="preserve"> и </w:t>
      </w:r>
      <w:hyperlink r:id="rId8" w:history="1">
        <w:r w:rsidR="00C03667" w:rsidRPr="0047226F">
          <w:rPr>
            <w:rStyle w:val="a3"/>
          </w:rPr>
          <w:t>стандартное отклонение</w:t>
        </w:r>
      </w:hyperlink>
      <w:r w:rsidR="00611115">
        <w:t xml:space="preserve"> </w:t>
      </w:r>
      <w:r w:rsidR="00611115">
        <w:sym w:font="Symbol" w:char="F073"/>
      </w:r>
      <w:r w:rsidR="00C03667">
        <w:t xml:space="preserve">, то </w:t>
      </w:r>
      <w:r w:rsidR="00C03667" w:rsidRPr="00C03667">
        <w:rPr>
          <w:i/>
        </w:rPr>
        <w:t>редкие</w:t>
      </w:r>
      <w:r w:rsidR="00C03667">
        <w:t xml:space="preserve"> события будут происходить значительно чаще, чем может предсказать </w:t>
      </w:r>
      <w:hyperlink r:id="rId9" w:history="1">
        <w:proofErr w:type="spellStart"/>
        <w:r w:rsidR="00C03667" w:rsidRPr="00C03667">
          <w:rPr>
            <w:rStyle w:val="a3"/>
          </w:rPr>
          <w:t>колоколообразная</w:t>
        </w:r>
        <w:proofErr w:type="spellEnd"/>
        <w:r w:rsidR="00C03667" w:rsidRPr="00C03667">
          <w:rPr>
            <w:rStyle w:val="a3"/>
          </w:rPr>
          <w:t xml:space="preserve"> кривая Гаусса</w:t>
        </w:r>
      </w:hyperlink>
      <w:r w:rsidR="00C03667">
        <w:t>.</w:t>
      </w:r>
    </w:p>
    <w:p w:rsidR="00C03667" w:rsidRDefault="00C03667" w:rsidP="00523356">
      <w:pPr>
        <w:spacing w:after="120" w:line="240" w:lineRule="auto"/>
      </w:pPr>
      <w:r>
        <w:t xml:space="preserve">И я решил присмотреться к курсу </w:t>
      </w:r>
      <w:r w:rsidR="00C87F1B">
        <w:t xml:space="preserve">рубля к </w:t>
      </w:r>
      <w:r>
        <w:t>доллар</w:t>
      </w:r>
      <w:r w:rsidR="00C87F1B">
        <w:t>у</w:t>
      </w:r>
      <w:r>
        <w:t xml:space="preserve"> (</w:t>
      </w:r>
      <w:proofErr w:type="gramStart"/>
      <w:r>
        <w:t>см</w:t>
      </w:r>
      <w:proofErr w:type="gramEnd"/>
      <w:r>
        <w:t xml:space="preserve">. </w:t>
      </w:r>
      <w:r w:rsidR="0058736C">
        <w:t xml:space="preserve">также </w:t>
      </w:r>
      <w:r w:rsidR="00EB379D">
        <w:t>лист «И</w:t>
      </w:r>
      <w:r>
        <w:t>сходный</w:t>
      </w:r>
      <w:r w:rsidR="0058736C">
        <w:t xml:space="preserve">» </w:t>
      </w:r>
      <w:r w:rsidR="0058736C">
        <w:rPr>
          <w:lang w:val="en-US"/>
        </w:rPr>
        <w:t>Excel</w:t>
      </w:r>
      <w:r w:rsidR="0058736C" w:rsidRPr="0058736C">
        <w:t>-</w:t>
      </w:r>
      <w:r>
        <w:t>файла)</w:t>
      </w:r>
      <w:r w:rsidR="0058736C">
        <w:t>. ЦБ РФ ведет отсчет курса доллара с 1 июля 1992 г. Поскольку 1 января 1998 г. рубль был деноминирован, я разделил значения за период с 01.07.92 по 31.12.97 на тысячу. Вот как «подрос» доллар за это время:</w:t>
      </w:r>
    </w:p>
    <w:p w:rsidR="0058736C" w:rsidRDefault="00483FBA" w:rsidP="0052335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2074545"/>
            <wp:effectExtent l="19050" t="0" r="0" b="0"/>
            <wp:docPr id="2" name="Рисунок 1" descr="001. Динамика курса долла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 Динамика курса доллара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36C" w:rsidRDefault="0058736C" w:rsidP="00523356">
      <w:pPr>
        <w:spacing w:after="120" w:line="240" w:lineRule="auto"/>
      </w:pPr>
      <w:r>
        <w:t>Рис. 1. Динамика курса доллара с 1 июля 1992 по 13 сентября 2011.</w:t>
      </w:r>
    </w:p>
    <w:p w:rsidR="00483FBA" w:rsidRDefault="00483FBA" w:rsidP="00523356">
      <w:pPr>
        <w:spacing w:after="120" w:line="240" w:lineRule="auto"/>
      </w:pPr>
      <w:r>
        <w:t xml:space="preserve">Далее я вычислил ежедневные отклонения курса, то есть разность значений двух соседних </w:t>
      </w:r>
      <w:r w:rsidRPr="00483FBA">
        <w:rPr>
          <w:i/>
        </w:rPr>
        <w:t>торговых</w:t>
      </w:r>
      <w:r>
        <w:rPr>
          <w:rStyle w:val="a6"/>
        </w:rPr>
        <w:footnoteReference w:id="2"/>
      </w:r>
      <w:r>
        <w:t xml:space="preserve"> дней в абсолютных величинах – рублях (рис. 2) и относительно значения предшествующего дня – в процентах (рис. 3).</w:t>
      </w:r>
    </w:p>
    <w:p w:rsidR="00483FBA" w:rsidRDefault="00483FBA" w:rsidP="0052335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2348865"/>
            <wp:effectExtent l="19050" t="0" r="0" b="0"/>
            <wp:docPr id="3" name="Рисунок 2" descr="002. Ежедневные абсолютные изменения курса долла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 Ежедневные абсолютные изменения курса доллара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BA" w:rsidRDefault="00483FBA" w:rsidP="00523356">
      <w:pPr>
        <w:spacing w:after="120" w:line="240" w:lineRule="auto"/>
      </w:pPr>
      <w:r>
        <w:t>Рис. 2. Ежедневные абсолютные изменения курса доллара</w:t>
      </w:r>
      <w:r w:rsidR="00AC645D">
        <w:t>.</w:t>
      </w:r>
    </w:p>
    <w:p w:rsidR="00AC645D" w:rsidRDefault="00AC645D" w:rsidP="00523356">
      <w:pPr>
        <w:spacing w:after="120" w:line="240" w:lineRule="auto"/>
      </w:pPr>
      <w:r>
        <w:t>Можно отметить значительные колебания</w:t>
      </w:r>
      <w:r w:rsidR="005F3F34">
        <w:t xml:space="preserve"> в октябре 1994 года (черный вторник), и в кризисы 1998 и 2008 гг.</w:t>
      </w:r>
    </w:p>
    <w:p w:rsidR="00483FBA" w:rsidRDefault="00483FBA" w:rsidP="0052335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19495" cy="2333625"/>
            <wp:effectExtent l="19050" t="0" r="0" b="0"/>
            <wp:docPr id="4" name="Рисунок 3" descr="003. Ежедневные относительные изменения курса долла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 Ежедневные относительные изменения курса доллара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BA" w:rsidRDefault="00483FBA" w:rsidP="00523356">
      <w:pPr>
        <w:spacing w:after="120" w:line="240" w:lineRule="auto"/>
      </w:pPr>
      <w:r>
        <w:t>Рис. 3. Ежедневные относительные изменения курса доллара</w:t>
      </w:r>
    </w:p>
    <w:p w:rsidR="00483FBA" w:rsidRDefault="005F3F34" w:rsidP="00523356">
      <w:pPr>
        <w:spacing w:after="120" w:line="240" w:lineRule="auto"/>
      </w:pPr>
      <w:r>
        <w:t xml:space="preserve">Видно, что </w:t>
      </w:r>
      <w:r w:rsidR="002721F6">
        <w:t xml:space="preserve">значительные </w:t>
      </w:r>
      <w:r w:rsidR="002721F6" w:rsidRPr="002721F6">
        <w:rPr>
          <w:i/>
        </w:rPr>
        <w:t>относительные</w:t>
      </w:r>
      <w:r w:rsidR="002721F6">
        <w:t xml:space="preserve"> </w:t>
      </w:r>
      <w:r>
        <w:t xml:space="preserve">колебания </w:t>
      </w:r>
      <w:r w:rsidR="002721F6">
        <w:t xml:space="preserve">наблюдались в первые годы котировки доллара, чего не видно на диаграмме с </w:t>
      </w:r>
      <w:r w:rsidR="002721F6" w:rsidRPr="002721F6">
        <w:rPr>
          <w:i/>
        </w:rPr>
        <w:t>абсолютными</w:t>
      </w:r>
      <w:r w:rsidR="002721F6">
        <w:t xml:space="preserve"> изменениями. Зато </w:t>
      </w:r>
      <w:r w:rsidR="002721F6" w:rsidRPr="002721F6">
        <w:rPr>
          <w:i/>
        </w:rPr>
        <w:t>относительные</w:t>
      </w:r>
      <w:r w:rsidR="002721F6">
        <w:t xml:space="preserve"> колебания </w:t>
      </w:r>
      <w:r w:rsidR="00277057">
        <w:t xml:space="preserve">в </w:t>
      </w:r>
      <w:r w:rsidR="002721F6">
        <w:t>кризис 2008-го года не так заметны, как на предыдущей диаграмме.</w:t>
      </w:r>
    </w:p>
    <w:p w:rsidR="00277057" w:rsidRDefault="00277057" w:rsidP="00523356">
      <w:pPr>
        <w:spacing w:after="120" w:line="240" w:lineRule="auto"/>
      </w:pPr>
      <w:r>
        <w:t xml:space="preserve">Ежедневные изменения курса доллара очень хорошо описываются </w:t>
      </w:r>
      <w:hyperlink r:id="rId13" w:history="1">
        <w:r w:rsidRPr="00277057">
          <w:rPr>
            <w:rStyle w:val="a3"/>
          </w:rPr>
          <w:t>правилом Парето</w:t>
        </w:r>
      </w:hyperlink>
      <w:r>
        <w:t xml:space="preserve"> (см. также лист «Парето» </w:t>
      </w:r>
      <w:r>
        <w:rPr>
          <w:lang w:val="en-US"/>
        </w:rPr>
        <w:t>Excel</w:t>
      </w:r>
      <w:r>
        <w:t>-файла). Если взять все относительные изменения по модулю и ранжировать по убыванию, то получится типичная кривая Парето (рис. 4).</w:t>
      </w:r>
    </w:p>
    <w:p w:rsidR="0003267A" w:rsidRDefault="00070AD7" w:rsidP="0052335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04555" cy="2640680"/>
            <wp:effectExtent l="19050" t="0" r="745" b="0"/>
            <wp:docPr id="6" name="Рисунок 5" descr="004. Изменения курса подчиняются правилу Паре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 Изменения курса подчиняются правилу Парето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300" cy="26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F6" w:rsidRDefault="00C87F1B" w:rsidP="00523356">
      <w:pPr>
        <w:spacing w:after="120" w:line="240" w:lineRule="auto"/>
      </w:pPr>
      <w:r>
        <w:t xml:space="preserve">Рис. 4. </w:t>
      </w:r>
      <w:r w:rsidRPr="00C87F1B">
        <w:t>Изменения курса подчиняются правилу Парето</w:t>
      </w:r>
    </w:p>
    <w:p w:rsidR="00923638" w:rsidRDefault="00923638" w:rsidP="00070AD7">
      <w:pPr>
        <w:spacing w:after="120" w:line="240" w:lineRule="auto"/>
      </w:pPr>
      <w:r>
        <w:t xml:space="preserve">За период с 1 июля 1992 г. по 13 сентября 2011 г. торги проводились в течение 4213 дней. То есть мы исследовали 4212 </w:t>
      </w:r>
      <w:proofErr w:type="gramStart"/>
      <w:r>
        <w:t>ежедневных</w:t>
      </w:r>
      <w:proofErr w:type="gramEnd"/>
      <w:r>
        <w:t xml:space="preserve"> изменения. Все эти изменения, если их взять по модулю, привели к суммарному изменению курса доллара на 1835% (в среднем в день на 1835%/4212 = 0,44%). </w:t>
      </w:r>
      <w:proofErr w:type="gramStart"/>
      <w:r>
        <w:t>Так вот, кривая Парето говорит, что 20%</w:t>
      </w:r>
      <w:r w:rsidR="00475275">
        <w:rPr>
          <w:rStyle w:val="a6"/>
        </w:rPr>
        <w:footnoteReference w:id="3"/>
      </w:r>
      <w:r>
        <w:t xml:space="preserve"> всех </w:t>
      </w:r>
      <w:r w:rsidR="00475275">
        <w:t>наиболее динамичных торговых сессий</w:t>
      </w:r>
      <w:r>
        <w:t xml:space="preserve"> или 8</w:t>
      </w:r>
      <w:r w:rsidR="000B2EB1">
        <w:t>57</w:t>
      </w:r>
      <w:r>
        <w:t xml:space="preserve"> торговых дня дали 80%-ный вклад в эти изменения, то есть на долю </w:t>
      </w:r>
      <w:r w:rsidR="00475275">
        <w:t>8</w:t>
      </w:r>
      <w:r w:rsidR="000B2EB1">
        <w:t>57</w:t>
      </w:r>
      <w:r w:rsidR="00475275">
        <w:t xml:space="preserve"> дней пришлись изменения в размере 1835%*80%</w:t>
      </w:r>
      <w:r w:rsidR="00070AD7">
        <w:t xml:space="preserve"> </w:t>
      </w:r>
      <w:r w:rsidR="00475275">
        <w:t>=</w:t>
      </w:r>
      <w:r w:rsidR="00070AD7">
        <w:t xml:space="preserve"> </w:t>
      </w:r>
      <w:r w:rsidR="00475275">
        <w:t>1468%. В то время как на долю 33</w:t>
      </w:r>
      <w:r w:rsidR="000B2EB1">
        <w:t xml:space="preserve">55 </w:t>
      </w:r>
      <w:r w:rsidR="00475275">
        <w:t>относительно спокойных дней пришлось суммарно всего 1835%*20%=367%</w:t>
      </w:r>
      <w:r w:rsidR="000B2EB1">
        <w:t xml:space="preserve"> изменений</w:t>
      </w:r>
      <w:r w:rsidR="00475275">
        <w:t>:</w:t>
      </w:r>
      <w:proofErr w:type="gramEnd"/>
    </w:p>
    <w:tbl>
      <w:tblPr>
        <w:tblW w:w="9072" w:type="dxa"/>
        <w:tblInd w:w="108" w:type="dxa"/>
        <w:tblLook w:val="04A0"/>
      </w:tblPr>
      <w:tblGrid>
        <w:gridCol w:w="2835"/>
        <w:gridCol w:w="1276"/>
        <w:gridCol w:w="2551"/>
        <w:gridCol w:w="2410"/>
      </w:tblGrid>
      <w:tr w:rsidR="000B2EB1" w:rsidRPr="000B2EB1" w:rsidTr="00070AD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B1" w:rsidRPr="000B2EB1" w:rsidRDefault="000B2EB1" w:rsidP="000B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E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B1" w:rsidRPr="000B2EB1" w:rsidRDefault="000B2EB1" w:rsidP="000B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0B2EB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Число дней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B1" w:rsidRPr="000B2EB1" w:rsidRDefault="000B2EB1" w:rsidP="000B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0B2EB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Суммарные 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B1" w:rsidRPr="000B2EB1" w:rsidRDefault="000B2EB1" w:rsidP="000B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0B2EB1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 среднем в один день</w:t>
            </w:r>
          </w:p>
        </w:tc>
      </w:tr>
      <w:tr w:rsidR="000B2EB1" w:rsidRPr="000B2EB1" w:rsidTr="00070AD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B1" w:rsidRPr="000B2EB1" w:rsidRDefault="000B2EB1" w:rsidP="000B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EB1">
              <w:rPr>
                <w:rFonts w:ascii="Calibri" w:eastAsia="Times New Roman" w:hAnsi="Calibri" w:cs="Times New Roman"/>
                <w:color w:val="000000"/>
                <w:lang w:eastAsia="ru-RU"/>
              </w:rPr>
              <w:t>Наиболее динамичные дни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B1" w:rsidRPr="000B2EB1" w:rsidRDefault="000B2EB1" w:rsidP="000B2E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EB1">
              <w:rPr>
                <w:rFonts w:ascii="Calibri" w:eastAsia="Times New Roman" w:hAnsi="Calibri" w:cs="Times New Roman"/>
                <w:color w:val="000000"/>
                <w:lang w:eastAsia="ru-RU"/>
              </w:rPr>
              <w:t>857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B1" w:rsidRPr="000B2EB1" w:rsidRDefault="000B2EB1" w:rsidP="000B2E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EB1">
              <w:rPr>
                <w:rFonts w:ascii="Calibri" w:eastAsia="Times New Roman" w:hAnsi="Calibri" w:cs="Times New Roman"/>
                <w:color w:val="000000"/>
                <w:lang w:eastAsia="ru-RU"/>
              </w:rPr>
              <w:t>1468%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B1" w:rsidRPr="000B2EB1" w:rsidRDefault="000B2EB1" w:rsidP="000B2E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EB1">
              <w:rPr>
                <w:rFonts w:ascii="Calibri" w:eastAsia="Times New Roman" w:hAnsi="Calibri" w:cs="Times New Roman"/>
                <w:color w:val="000000"/>
                <w:lang w:eastAsia="ru-RU"/>
              </w:rPr>
              <w:t>1,71%</w:t>
            </w:r>
          </w:p>
        </w:tc>
      </w:tr>
      <w:tr w:rsidR="000B2EB1" w:rsidRPr="000B2EB1" w:rsidTr="00070AD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B1" w:rsidRPr="000B2EB1" w:rsidRDefault="000B2EB1" w:rsidP="000B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EB1">
              <w:rPr>
                <w:rFonts w:ascii="Calibri" w:eastAsia="Times New Roman" w:hAnsi="Calibri" w:cs="Times New Roman"/>
                <w:color w:val="000000"/>
                <w:lang w:eastAsia="ru-RU"/>
              </w:rPr>
              <w:t>Спокойные торговые дни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B1" w:rsidRPr="000B2EB1" w:rsidRDefault="000B2EB1" w:rsidP="000B2E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EB1">
              <w:rPr>
                <w:rFonts w:ascii="Calibri" w:eastAsia="Times New Roman" w:hAnsi="Calibri" w:cs="Times New Roman"/>
                <w:color w:val="000000"/>
                <w:lang w:eastAsia="ru-RU"/>
              </w:rPr>
              <w:t>3355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B1" w:rsidRPr="000B2EB1" w:rsidRDefault="000B2EB1" w:rsidP="000B2E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EB1">
              <w:rPr>
                <w:rFonts w:ascii="Calibri" w:eastAsia="Times New Roman" w:hAnsi="Calibri" w:cs="Times New Roman"/>
                <w:color w:val="000000"/>
                <w:lang w:eastAsia="ru-RU"/>
              </w:rPr>
              <w:t>367%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B1" w:rsidRPr="000B2EB1" w:rsidRDefault="000B2EB1" w:rsidP="000B2E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EB1">
              <w:rPr>
                <w:rFonts w:ascii="Calibri" w:eastAsia="Times New Roman" w:hAnsi="Calibri" w:cs="Times New Roman"/>
                <w:color w:val="000000"/>
                <w:lang w:eastAsia="ru-RU"/>
              </w:rPr>
              <w:t>0,11%</w:t>
            </w:r>
          </w:p>
        </w:tc>
      </w:tr>
      <w:tr w:rsidR="000B2EB1" w:rsidRPr="000B2EB1" w:rsidTr="00070AD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B1" w:rsidRPr="000B2EB1" w:rsidRDefault="000B2EB1" w:rsidP="000B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EB1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B1" w:rsidRPr="000B2EB1" w:rsidRDefault="000B2EB1" w:rsidP="000B2E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EB1">
              <w:rPr>
                <w:rFonts w:ascii="Calibri" w:eastAsia="Times New Roman" w:hAnsi="Calibri" w:cs="Times New Roman"/>
                <w:color w:val="000000"/>
                <w:lang w:eastAsia="ru-RU"/>
              </w:rPr>
              <w:t>4212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B1" w:rsidRPr="000B2EB1" w:rsidRDefault="000B2EB1" w:rsidP="000B2E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EB1">
              <w:rPr>
                <w:rFonts w:ascii="Calibri" w:eastAsia="Times New Roman" w:hAnsi="Calibri" w:cs="Times New Roman"/>
                <w:color w:val="000000"/>
                <w:lang w:eastAsia="ru-RU"/>
              </w:rPr>
              <w:t>1835%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B1" w:rsidRPr="000B2EB1" w:rsidRDefault="000B2EB1" w:rsidP="000B2E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EB1">
              <w:rPr>
                <w:rFonts w:ascii="Calibri" w:eastAsia="Times New Roman" w:hAnsi="Calibri" w:cs="Times New Roman"/>
                <w:color w:val="000000"/>
                <w:lang w:eastAsia="ru-RU"/>
              </w:rPr>
              <w:t>0,44%</w:t>
            </w:r>
          </w:p>
        </w:tc>
      </w:tr>
    </w:tbl>
    <w:p w:rsidR="00475275" w:rsidRDefault="002D4DCC" w:rsidP="002D4DCC">
      <w:pPr>
        <w:spacing w:before="120" w:after="120" w:line="240" w:lineRule="auto"/>
      </w:pPr>
      <w:r>
        <w:t xml:space="preserve">Мандельброт предлагал называть правило Парето не 20/80, а 1/50, утверждая, что 1% наиболее значимых событий дает 50%-ный вклад в итоговый результат. В нашем случае, 1% наиболее </w:t>
      </w:r>
      <w:r>
        <w:lastRenderedPageBreak/>
        <w:t>динамичных торговых дней (</w:t>
      </w:r>
      <w:r w:rsidR="00AB541C">
        <w:t xml:space="preserve">чуть более </w:t>
      </w:r>
      <w:r>
        <w:t>42 дн</w:t>
      </w:r>
      <w:r w:rsidR="00AB541C">
        <w:t>ей</w:t>
      </w:r>
      <w:r>
        <w:t>) да</w:t>
      </w:r>
      <w:r w:rsidR="00070AD7">
        <w:t>е</w:t>
      </w:r>
      <w:r>
        <w:t xml:space="preserve">т </w:t>
      </w:r>
      <w:r w:rsidR="00AB541C">
        <w:t>32,5%</w:t>
      </w:r>
      <w:r w:rsidR="00070AD7">
        <w:t>-ную долю изменений, или их</w:t>
      </w:r>
      <w:r w:rsidR="00AB541C">
        <w:t xml:space="preserve"> </w:t>
      </w:r>
      <w:r w:rsidR="00070AD7">
        <w:t>суммарный вклад в изменения составляет 32,5%*1835% = 598%. В среднем в день =</w:t>
      </w:r>
      <w:r w:rsidR="00AB541C">
        <w:t xml:space="preserve"> </w:t>
      </w:r>
      <w:r w:rsidR="00070AD7">
        <w:t>598% / 42 = 14,1%. В 130 раз больше, чем в среднем в спокойный день!!!</w:t>
      </w:r>
    </w:p>
    <w:p w:rsidR="001B532E" w:rsidRPr="001B532E" w:rsidRDefault="001B532E" w:rsidP="002D4DCC">
      <w:pPr>
        <w:spacing w:before="120" w:after="120" w:line="240" w:lineRule="auto"/>
      </w:pPr>
      <w:r>
        <w:t xml:space="preserve">Если сгруппировать все ежедневные изменения по диапазонам с шагом 0,05%, то центральная часть кривой распределения вполне похожа на </w:t>
      </w:r>
      <w:proofErr w:type="spellStart"/>
      <w:r>
        <w:t>гауссиану</w:t>
      </w:r>
      <w:proofErr w:type="spellEnd"/>
      <w:r>
        <w:t xml:space="preserve"> (см. также лист «Гаусс» </w:t>
      </w:r>
      <w:r>
        <w:rPr>
          <w:lang w:val="en-US"/>
        </w:rPr>
        <w:t>Excel</w:t>
      </w:r>
      <w:r>
        <w:t>-файла):</w:t>
      </w:r>
    </w:p>
    <w:p w:rsidR="001B532E" w:rsidRDefault="001B532E" w:rsidP="0052335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87003" cy="2449002"/>
            <wp:effectExtent l="19050" t="0" r="3997" b="0"/>
            <wp:docPr id="7" name="Рисунок 6" descr="005. Центральная часть кривой распредел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 Центральная часть кривой распределения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245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638" w:rsidRDefault="001B532E" w:rsidP="00523356">
      <w:pPr>
        <w:spacing w:after="120" w:line="240" w:lineRule="auto"/>
      </w:pPr>
      <w:r>
        <w:t xml:space="preserve">Рис. </w:t>
      </w:r>
      <w:r w:rsidRPr="001B532E">
        <w:t>5. Центральная часть кривой распределения</w:t>
      </w:r>
    </w:p>
    <w:p w:rsidR="001B532E" w:rsidRDefault="001B532E" w:rsidP="00523356">
      <w:pPr>
        <w:spacing w:after="120" w:line="240" w:lineRule="auto"/>
      </w:pPr>
      <w:r>
        <w:t xml:space="preserve">При этом «толстые» хвосты способны насторожить. На рисунке 6 масштаб по оси ординат выбран так, чтобы </w:t>
      </w:r>
      <w:r w:rsidR="00E370E7">
        <w:t>хвосты были лучше видны.</w:t>
      </w:r>
      <w:r>
        <w:t xml:space="preserve"> </w:t>
      </w:r>
    </w:p>
    <w:p w:rsidR="001B532E" w:rsidRDefault="001B532E" w:rsidP="0052335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73679" cy="2154803"/>
            <wp:effectExtent l="19050" t="0" r="3021" b="0"/>
            <wp:docPr id="8" name="Рисунок 7" descr="006. Присутствуют толстые хво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 Присутствуют толстые хвосты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016" cy="215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32E" w:rsidRDefault="001B532E" w:rsidP="00523356">
      <w:pPr>
        <w:spacing w:after="120" w:line="240" w:lineRule="auto"/>
      </w:pPr>
      <w:r>
        <w:t xml:space="preserve">Рис. 6. </w:t>
      </w:r>
      <w:r w:rsidRPr="001B532E">
        <w:t>Присутс</w:t>
      </w:r>
      <w:r>
        <w:t>т</w:t>
      </w:r>
      <w:r w:rsidRPr="001B532E">
        <w:t xml:space="preserve">вуют </w:t>
      </w:r>
      <w:r>
        <w:t>«</w:t>
      </w:r>
      <w:r w:rsidRPr="001B532E">
        <w:t>толстые</w:t>
      </w:r>
      <w:r>
        <w:t>»</w:t>
      </w:r>
      <w:r w:rsidRPr="001B532E">
        <w:t xml:space="preserve"> хвосты</w:t>
      </w:r>
    </w:p>
    <w:p w:rsidR="00E370E7" w:rsidRDefault="00E370E7" w:rsidP="00523356">
      <w:pPr>
        <w:spacing w:after="120" w:line="240" w:lineRule="auto"/>
      </w:pPr>
      <w:r>
        <w:t xml:space="preserve">Если построить график так, как это делал </w:t>
      </w:r>
      <w:hyperlink r:id="rId17" w:history="1">
        <w:r w:rsidRPr="00E370E7">
          <w:rPr>
            <w:rStyle w:val="a3"/>
          </w:rPr>
          <w:t>Ципф</w:t>
        </w:r>
      </w:hyperlink>
      <w:r>
        <w:t xml:space="preserve">, то получим типичную гиперболу (рис. 7; см. также лист «Логарифмы» </w:t>
      </w:r>
      <w:r>
        <w:rPr>
          <w:lang w:val="en-US"/>
        </w:rPr>
        <w:t>Excel</w:t>
      </w:r>
      <w:r>
        <w:t>-файла).</w:t>
      </w:r>
    </w:p>
    <w:p w:rsidR="00E370E7" w:rsidRDefault="00E370E7" w:rsidP="0052335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97576" cy="2268682"/>
            <wp:effectExtent l="19050" t="0" r="0" b="0"/>
            <wp:docPr id="9" name="Рисунок 8" descr="007. Гипербола, подтверждающая соблюдения закона Ципф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 Гипербола, подтверждающая соблюдения закона Ципфа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369" cy="226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E7" w:rsidRDefault="00E370E7" w:rsidP="00523356">
      <w:pPr>
        <w:spacing w:after="120" w:line="240" w:lineRule="auto"/>
      </w:pPr>
      <w:r>
        <w:t xml:space="preserve">Рис. 7. </w:t>
      </w:r>
      <w:r w:rsidRPr="00E370E7">
        <w:t>Гипербола, подтверждающая соблюдения закона Ципфа</w:t>
      </w:r>
    </w:p>
    <w:p w:rsidR="00325D23" w:rsidRDefault="00325D23" w:rsidP="00E370E7">
      <w:pPr>
        <w:spacing w:after="120" w:line="240" w:lineRule="auto"/>
      </w:pPr>
      <w:r>
        <w:lastRenderedPageBreak/>
        <w:t>Здесь по оси абсцисс указан ранг диапазона от 1 до 19 и среднее значение диапазона. Так, например, в первом диапазоне среднее 0,005 или 0,5%, а сам диапазон включает все изменения от 0 до 1%.</w:t>
      </w:r>
    </w:p>
    <w:p w:rsidR="00E370E7" w:rsidRDefault="00E370E7" w:rsidP="00E370E7">
      <w:pPr>
        <w:spacing w:after="120" w:line="240" w:lineRule="auto"/>
      </w:pPr>
      <w:r>
        <w:t xml:space="preserve">Напомню, что закон Ципфа утверждает: произведение ранга на частоту появления </w:t>
      </w:r>
      <w:r w:rsidR="00325D23">
        <w:t>–</w:t>
      </w:r>
      <w:r>
        <w:t xml:space="preserve"> величин</w:t>
      </w:r>
      <w:r w:rsidR="00325D23">
        <w:t>а</w:t>
      </w:r>
      <w:r>
        <w:t xml:space="preserve"> постоянн</w:t>
      </w:r>
      <w:r w:rsidR="00325D23">
        <w:t>ая</w:t>
      </w:r>
      <w:r>
        <w:t xml:space="preserve">. Подтверждает соблюдение закона Ципфа то, что точки ложатся на </w:t>
      </w:r>
      <w:proofErr w:type="gramStart"/>
      <w:r>
        <w:t>прямую</w:t>
      </w:r>
      <w:proofErr w:type="gramEnd"/>
      <w:r>
        <w:t>, если график (как на  рис. 7) построить в логарифмических осях:</w:t>
      </w:r>
    </w:p>
    <w:p w:rsidR="00E370E7" w:rsidRDefault="00325D23" w:rsidP="00E370E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86794" cy="2210463"/>
            <wp:effectExtent l="19050" t="0" r="8906" b="0"/>
            <wp:docPr id="10" name="Рисунок 9" descr="008. То же, что и на рис. 7, но по обеим осям используется логарифмический масшта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 То же, что и на рис. 7, но по обеим осям используется логарифмический масштаб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909" cy="221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E7" w:rsidRDefault="00E370E7" w:rsidP="00E370E7">
      <w:pPr>
        <w:spacing w:after="120" w:line="240" w:lineRule="auto"/>
      </w:pPr>
      <w:r>
        <w:t xml:space="preserve">Рис. 8. </w:t>
      </w:r>
      <w:r w:rsidR="00325D23" w:rsidRPr="00325D23">
        <w:t>То же, что и на рис. 7, но по обеим осям используется логарифмический масштаб</w:t>
      </w:r>
    </w:p>
    <w:p w:rsidR="00325D23" w:rsidRDefault="00325D23" w:rsidP="00E370E7">
      <w:pPr>
        <w:spacing w:after="120" w:line="240" w:lineRule="auto"/>
      </w:pPr>
      <w:r>
        <w:t xml:space="preserve">«Добьем» </w:t>
      </w:r>
      <w:proofErr w:type="spellStart"/>
      <w:r>
        <w:t>гауссиану</w:t>
      </w:r>
      <w:proofErr w:type="spellEnd"/>
      <w:r>
        <w:t xml:space="preserve"> сравнительной таблицей, в которой покажем теоретическую вероятность появления редких событий, рядом с реальным</w:t>
      </w:r>
      <w:r w:rsidR="00C86C67">
        <w:t>и</w:t>
      </w:r>
      <w:r>
        <w:t xml:space="preserve"> фактами поведения курса доллара (</w:t>
      </w:r>
      <w:proofErr w:type="gramStart"/>
      <w:r>
        <w:t>см</w:t>
      </w:r>
      <w:proofErr w:type="gramEnd"/>
      <w:r>
        <w:t xml:space="preserve">. также лист «Сигма» </w:t>
      </w:r>
      <w:r>
        <w:rPr>
          <w:lang w:val="en-US"/>
        </w:rPr>
        <w:t>Excel</w:t>
      </w:r>
      <w:r w:rsidRPr="00325D23">
        <w:t>-</w:t>
      </w:r>
      <w:r>
        <w:t>файла).</w:t>
      </w:r>
    </w:p>
    <w:tbl>
      <w:tblPr>
        <w:tblW w:w="8620" w:type="dxa"/>
        <w:tblInd w:w="95" w:type="dxa"/>
        <w:tblLook w:val="04A0"/>
      </w:tblPr>
      <w:tblGrid>
        <w:gridCol w:w="1960"/>
        <w:gridCol w:w="3112"/>
        <w:gridCol w:w="3548"/>
      </w:tblGrid>
      <w:tr w:rsidR="00C86C67" w:rsidRPr="00C86C67" w:rsidTr="00C86C67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67" w:rsidRPr="00C86C67" w:rsidRDefault="00C86C67" w:rsidP="00C8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>Сигма-окрестность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C67" w:rsidRPr="00C86C67" w:rsidRDefault="00C86C67" w:rsidP="00C8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значений за пределами </w:t>
            </w:r>
            <w:proofErr w:type="gramStart"/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>указанной</w:t>
            </w:r>
            <w:proofErr w:type="gramEnd"/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>сигма-окрестности</w:t>
            </w:r>
            <w:proofErr w:type="spellEnd"/>
          </w:p>
        </w:tc>
      </w:tr>
      <w:tr w:rsidR="00C86C67" w:rsidRPr="00C86C67" w:rsidTr="00C86C67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C67" w:rsidRPr="00C86C67" w:rsidRDefault="00C86C67" w:rsidP="00C86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67" w:rsidRPr="00C86C67" w:rsidRDefault="00C86C67" w:rsidP="00C8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распределения Гаусса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67" w:rsidRPr="00C86C67" w:rsidRDefault="00C86C67" w:rsidP="00C8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изменения курса доллара</w:t>
            </w:r>
          </w:p>
        </w:tc>
      </w:tr>
      <w:tr w:rsidR="00C86C67" w:rsidRPr="00C86C67" w:rsidTr="00C86C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67" w:rsidRPr="00C86C67" w:rsidRDefault="00C86C67" w:rsidP="00C8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 пределами </w:t>
            </w:r>
            <w:r w:rsidRPr="00C86C67">
              <w:rPr>
                <w:rFonts w:ascii="Symbol" w:eastAsia="Times New Roman" w:hAnsi="Symbol" w:cs="Times New Roman"/>
                <w:color w:val="000000"/>
                <w:lang w:eastAsia="ru-RU"/>
              </w:rPr>
              <w:t>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67" w:rsidRPr="00C86C67" w:rsidRDefault="00C86C67" w:rsidP="00C8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>1 337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67" w:rsidRPr="00C86C67" w:rsidRDefault="00C86C67" w:rsidP="00C8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FC7E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C86C67" w:rsidRPr="00C86C67" w:rsidTr="00C86C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67" w:rsidRPr="00C86C67" w:rsidRDefault="00C86C67" w:rsidP="00C8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>За пределами 2</w:t>
            </w:r>
            <w:r w:rsidRPr="00C86C67">
              <w:rPr>
                <w:rFonts w:ascii="Symbol" w:eastAsia="Times New Roman" w:hAnsi="Symbol" w:cs="Times New Roman"/>
                <w:color w:val="000000"/>
                <w:lang w:eastAsia="ru-RU"/>
              </w:rPr>
              <w:t>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67" w:rsidRPr="00C86C67" w:rsidRDefault="00C86C67" w:rsidP="00C8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67" w:rsidRPr="00C86C67" w:rsidRDefault="00C86C67" w:rsidP="00C8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FC7E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C86C67" w:rsidRPr="00C86C67" w:rsidTr="00C86C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67" w:rsidRPr="00C86C67" w:rsidRDefault="00C86C67" w:rsidP="00C8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>За пределами 3</w:t>
            </w:r>
            <w:r w:rsidRPr="00C86C67">
              <w:rPr>
                <w:rFonts w:ascii="Symbol" w:eastAsia="Times New Roman" w:hAnsi="Symbol" w:cs="Times New Roman"/>
                <w:color w:val="000000"/>
                <w:lang w:eastAsia="ru-RU"/>
              </w:rPr>
              <w:t>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67" w:rsidRPr="00C86C67" w:rsidRDefault="00C86C67" w:rsidP="00C8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67" w:rsidRPr="00C86C67" w:rsidRDefault="00C86C67" w:rsidP="00C8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FC7E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C86C67" w:rsidRPr="00C86C67" w:rsidTr="00C86C6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67" w:rsidRPr="00C86C67" w:rsidRDefault="00C86C67" w:rsidP="00C8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>За пределами 4</w:t>
            </w:r>
            <w:r w:rsidRPr="00C86C67">
              <w:rPr>
                <w:rFonts w:ascii="Symbol" w:eastAsia="Times New Roman" w:hAnsi="Symbol" w:cs="Times New Roman"/>
                <w:color w:val="000000"/>
                <w:lang w:eastAsia="ru-RU"/>
              </w:rPr>
              <w:t>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67" w:rsidRPr="00C86C67" w:rsidRDefault="00C86C67" w:rsidP="00C8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67" w:rsidRPr="00C86C67" w:rsidRDefault="00C86C67" w:rsidP="00C86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C6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FC7E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</w:tbl>
    <w:p w:rsidR="00325D23" w:rsidRDefault="00FC2D5F" w:rsidP="00FC2D5F">
      <w:pPr>
        <w:spacing w:before="120"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t xml:space="preserve">Что показывает таблица? Во-первых, вероятность попадания в </w:t>
      </w:r>
      <w:proofErr w:type="gramStart"/>
      <w:r>
        <w:rPr>
          <w:lang w:val="en-US"/>
        </w:rPr>
        <w:sym w:font="Symbol" w:char="F073"/>
      </w:r>
      <w:r>
        <w:t>-</w:t>
      </w:r>
      <w:proofErr w:type="gramEnd"/>
      <w:r>
        <w:t>окрестность реальных данных существенно выше, чем в случае нормального распределения. Почти в 8 раз! (1337/17</w:t>
      </w:r>
      <w:r w:rsidR="00FC7EF7">
        <w:t>2</w:t>
      </w:r>
      <w:r>
        <w:t xml:space="preserve"> = 7,7) Такая плотность </w:t>
      </w:r>
      <w:r w:rsidR="00FC7EF7">
        <w:t xml:space="preserve">размещения </w:t>
      </w:r>
      <w:r>
        <w:t>реальных данных у среднего значения компенсируется существенно более толстыми хвостами. Число значений изменения курса доллара за пределами 4</w:t>
      </w:r>
      <w:r w:rsidRPr="00C86C67">
        <w:rPr>
          <w:rFonts w:ascii="Symbol" w:eastAsia="Times New Roman" w:hAnsi="Symbol" w:cs="Times New Roman"/>
          <w:color w:val="000000"/>
          <w:lang w:eastAsia="ru-RU"/>
        </w:rPr>
        <w:t></w:t>
      </w:r>
      <w:r w:rsidRPr="00C86C67">
        <w:rPr>
          <w:rFonts w:ascii="Calibri" w:eastAsia="Times New Roman" w:hAnsi="Calibri" w:cs="Times New Roman"/>
          <w:color w:val="000000"/>
          <w:lang w:eastAsia="ru-RU"/>
        </w:rPr>
        <w:t>-окрестности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(3</w:t>
      </w:r>
      <w:r w:rsidR="00FC7EF7">
        <w:rPr>
          <w:rFonts w:ascii="Calibri" w:eastAsia="Times New Roman" w:hAnsi="Calibri" w:cs="Times New Roman"/>
          <w:color w:val="000000"/>
          <w:lang w:eastAsia="ru-RU"/>
        </w:rPr>
        <w:t>6</w:t>
      </w:r>
      <w:r>
        <w:rPr>
          <w:rFonts w:ascii="Calibri" w:eastAsia="Times New Roman" w:hAnsi="Calibri" w:cs="Times New Roman"/>
          <w:color w:val="000000"/>
          <w:lang w:eastAsia="ru-RU"/>
        </w:rPr>
        <w:t>) в 1</w:t>
      </w:r>
      <w:r w:rsidR="00FC7EF7">
        <w:rPr>
          <w:rFonts w:ascii="Calibri" w:eastAsia="Times New Roman" w:hAnsi="Calibri" w:cs="Times New Roman"/>
          <w:color w:val="000000"/>
          <w:lang w:eastAsia="ru-RU"/>
        </w:rPr>
        <w:t>35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раз превышает предсказываемое нормальным распределением</w:t>
      </w:r>
      <w:r w:rsidR="00FC7EF7">
        <w:rPr>
          <w:rFonts w:ascii="Calibri" w:eastAsia="Times New Roman" w:hAnsi="Calibri" w:cs="Times New Roman"/>
          <w:color w:val="000000"/>
          <w:lang w:eastAsia="ru-RU"/>
        </w:rPr>
        <w:t xml:space="preserve"> (0,3)</w:t>
      </w:r>
      <w:r>
        <w:rPr>
          <w:rFonts w:ascii="Calibri" w:eastAsia="Times New Roman" w:hAnsi="Calibri" w:cs="Times New Roman"/>
          <w:color w:val="000000"/>
          <w:lang w:eastAsia="ru-RU"/>
        </w:rPr>
        <w:t>!</w:t>
      </w:r>
      <w:r w:rsidR="00FC7EF7">
        <w:rPr>
          <w:rFonts w:ascii="Calibri" w:eastAsia="Times New Roman" w:hAnsi="Calibri" w:cs="Times New Roman"/>
          <w:color w:val="000000"/>
          <w:lang w:eastAsia="ru-RU"/>
        </w:rPr>
        <w:t xml:space="preserve"> А как вам плавное снижение чисел 172 </w:t>
      </w:r>
      <w:r w:rsidR="00FC7EF7">
        <w:rPr>
          <w:rFonts w:ascii="Calibri" w:eastAsia="Times New Roman" w:hAnsi="Calibri" w:cs="Times New Roman"/>
          <w:color w:val="000000"/>
          <w:lang w:eastAsia="ru-RU"/>
        </w:rPr>
        <w:sym w:font="Symbol" w:char="F0AE"/>
      </w:r>
      <w:r w:rsidR="00FC7EF7">
        <w:rPr>
          <w:rFonts w:ascii="Calibri" w:eastAsia="Times New Roman" w:hAnsi="Calibri" w:cs="Times New Roman"/>
          <w:color w:val="000000"/>
          <w:lang w:eastAsia="ru-RU"/>
        </w:rPr>
        <w:t xml:space="preserve"> 65 </w:t>
      </w:r>
      <w:r w:rsidR="00FC7EF7">
        <w:rPr>
          <w:rFonts w:ascii="Calibri" w:eastAsia="Times New Roman" w:hAnsi="Calibri" w:cs="Times New Roman"/>
          <w:color w:val="000000"/>
          <w:lang w:eastAsia="ru-RU"/>
        </w:rPr>
        <w:sym w:font="Symbol" w:char="F0AE"/>
      </w:r>
      <w:r w:rsidR="00FC7EF7">
        <w:rPr>
          <w:rFonts w:ascii="Calibri" w:eastAsia="Times New Roman" w:hAnsi="Calibri" w:cs="Times New Roman"/>
          <w:color w:val="000000"/>
          <w:lang w:eastAsia="ru-RU"/>
        </w:rPr>
        <w:t xml:space="preserve"> 44 </w:t>
      </w:r>
      <w:r w:rsidR="00FC7EF7">
        <w:rPr>
          <w:rFonts w:ascii="Calibri" w:eastAsia="Times New Roman" w:hAnsi="Calibri" w:cs="Times New Roman"/>
          <w:color w:val="000000"/>
          <w:lang w:eastAsia="ru-RU"/>
        </w:rPr>
        <w:sym w:font="Symbol" w:char="F0AE"/>
      </w:r>
      <w:r w:rsidR="00506647">
        <w:rPr>
          <w:rFonts w:ascii="Calibri" w:eastAsia="Times New Roman" w:hAnsi="Calibri" w:cs="Times New Roman"/>
          <w:color w:val="000000"/>
          <w:lang w:eastAsia="ru-RU"/>
        </w:rPr>
        <w:t xml:space="preserve"> 36 по сравнению с 1337 </w:t>
      </w:r>
      <w:r w:rsidR="00506647">
        <w:rPr>
          <w:rFonts w:ascii="Calibri" w:eastAsia="Times New Roman" w:hAnsi="Calibri" w:cs="Times New Roman"/>
          <w:color w:val="000000"/>
          <w:lang w:eastAsia="ru-RU"/>
        </w:rPr>
        <w:sym w:font="Symbol" w:char="F0AE"/>
      </w:r>
      <w:r w:rsidR="00506647">
        <w:rPr>
          <w:rFonts w:ascii="Calibri" w:eastAsia="Times New Roman" w:hAnsi="Calibri" w:cs="Times New Roman"/>
          <w:color w:val="000000"/>
          <w:lang w:eastAsia="ru-RU"/>
        </w:rPr>
        <w:t xml:space="preserve"> 192 </w:t>
      </w:r>
      <w:r w:rsidR="00506647">
        <w:rPr>
          <w:rFonts w:ascii="Calibri" w:eastAsia="Times New Roman" w:hAnsi="Calibri" w:cs="Times New Roman"/>
          <w:color w:val="000000"/>
          <w:lang w:eastAsia="ru-RU"/>
        </w:rPr>
        <w:sym w:font="Symbol" w:char="F0AE"/>
      </w:r>
      <w:r w:rsidR="00506647">
        <w:rPr>
          <w:rFonts w:ascii="Calibri" w:eastAsia="Times New Roman" w:hAnsi="Calibri" w:cs="Times New Roman"/>
          <w:color w:val="000000"/>
          <w:lang w:eastAsia="ru-RU"/>
        </w:rPr>
        <w:t xml:space="preserve"> 11 </w:t>
      </w:r>
      <w:r w:rsidR="00506647">
        <w:rPr>
          <w:rFonts w:ascii="Calibri" w:eastAsia="Times New Roman" w:hAnsi="Calibri" w:cs="Times New Roman"/>
          <w:color w:val="000000"/>
          <w:lang w:eastAsia="ru-RU"/>
        </w:rPr>
        <w:sym w:font="Symbol" w:char="F0AE"/>
      </w:r>
      <w:r w:rsidR="00506647">
        <w:rPr>
          <w:rFonts w:ascii="Calibri" w:eastAsia="Times New Roman" w:hAnsi="Calibri" w:cs="Times New Roman"/>
          <w:color w:val="000000"/>
          <w:lang w:eastAsia="ru-RU"/>
        </w:rPr>
        <w:t xml:space="preserve"> 0,3? Наверное, для вас не будет удивительным, что найдется парочка торговых дней, в которые изменения вышли за пределы 6</w:t>
      </w:r>
      <w:r w:rsidR="00506647" w:rsidRPr="00C86C67">
        <w:rPr>
          <w:rFonts w:ascii="Symbol" w:eastAsia="Times New Roman" w:hAnsi="Symbol" w:cs="Times New Roman"/>
          <w:color w:val="000000"/>
          <w:lang w:eastAsia="ru-RU"/>
        </w:rPr>
        <w:t></w:t>
      </w:r>
      <w:r w:rsidR="00506647">
        <w:rPr>
          <w:rFonts w:ascii="Symbol" w:eastAsia="Times New Roman" w:hAnsi="Symbol" w:cs="Times New Roman"/>
          <w:color w:val="000000"/>
          <w:lang w:eastAsia="ru-RU"/>
        </w:rPr>
        <w:t></w:t>
      </w:r>
      <w:r w:rsidR="00506647">
        <w:rPr>
          <w:rFonts w:ascii="Symbol" w:eastAsia="Times New Roman" w:hAnsi="Symbol" w:cs="Times New Roman"/>
          <w:color w:val="000000"/>
          <w:lang w:eastAsia="ru-RU"/>
        </w:rPr>
        <w:t></w:t>
      </w:r>
      <w:r w:rsidR="00506647">
        <w:rPr>
          <w:rFonts w:ascii="Calibri" w:eastAsia="Times New Roman" w:hAnsi="Calibri" w:cs="Times New Roman"/>
          <w:color w:val="000000"/>
          <w:lang w:eastAsia="ru-RU"/>
        </w:rPr>
        <w:t>и даже 10</w:t>
      </w:r>
      <w:r w:rsidR="00506647" w:rsidRPr="00C86C67">
        <w:rPr>
          <w:rFonts w:ascii="Symbol" w:eastAsia="Times New Roman" w:hAnsi="Symbol" w:cs="Times New Roman"/>
          <w:color w:val="000000"/>
          <w:lang w:eastAsia="ru-RU"/>
        </w:rPr>
        <w:t></w:t>
      </w:r>
      <w:r w:rsidR="00506647">
        <w:rPr>
          <w:rFonts w:ascii="Calibri" w:eastAsia="Times New Roman" w:hAnsi="Calibri" w:cs="Times New Roman"/>
          <w:color w:val="000000"/>
          <w:lang w:eastAsia="ru-RU"/>
        </w:rPr>
        <w:t>!?</w:t>
      </w:r>
    </w:p>
    <w:p w:rsidR="00FC2D5F" w:rsidRDefault="00FC2D5F" w:rsidP="00FC2D5F">
      <w:pPr>
        <w:spacing w:before="120"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Есть еще желающие отстаивать «нормальность» распределения изменения курса доллара!?</w:t>
      </w:r>
    </w:p>
    <w:p w:rsidR="000B3080" w:rsidRDefault="000B3080" w:rsidP="00FC2D5F">
      <w:pPr>
        <w:spacing w:before="120"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Ну, хорошо… изменение курса доллара не подчиняется нормальному распределению… ну и что? А то, что немало финансовых показателей основывается на предположении, что распределение то нормальное.</w:t>
      </w:r>
    </w:p>
    <w:p w:rsidR="008C0DD7" w:rsidRDefault="000B3080" w:rsidP="00FC2D5F">
      <w:pPr>
        <w:spacing w:before="120"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Рассмотрим, например, </w:t>
      </w:r>
      <w:proofErr w:type="spellStart"/>
      <w:r>
        <w:rPr>
          <w:rFonts w:ascii="Calibri" w:eastAsia="Times New Roman" w:hAnsi="Calibri" w:cs="Times New Roman"/>
          <w:color w:val="000000"/>
          <w:lang w:val="en-US" w:eastAsia="ru-RU"/>
        </w:rPr>
        <w:t>VaR</w:t>
      </w:r>
      <w:proofErr w:type="spellEnd"/>
      <w:r w:rsidRPr="000B3080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 w:rsidRPr="000B3080">
        <w:rPr>
          <w:rFonts w:ascii="Calibri" w:eastAsia="Times New Roman" w:hAnsi="Calibri" w:cs="Times New Roman"/>
          <w:color w:val="000000"/>
          <w:lang w:val="en-US" w:eastAsia="ru-RU"/>
        </w:rPr>
        <w:t>Value</w:t>
      </w:r>
      <w:r w:rsidRPr="000B308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0B3080">
        <w:rPr>
          <w:rFonts w:ascii="Calibri" w:eastAsia="Times New Roman" w:hAnsi="Calibri" w:cs="Times New Roman"/>
          <w:color w:val="000000"/>
          <w:lang w:val="en-US" w:eastAsia="ru-RU"/>
        </w:rPr>
        <w:t>at</w:t>
      </w:r>
      <w:r w:rsidRPr="000B308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0B3080">
        <w:rPr>
          <w:rFonts w:ascii="Calibri" w:eastAsia="Times New Roman" w:hAnsi="Calibri" w:cs="Times New Roman"/>
          <w:color w:val="000000"/>
          <w:lang w:val="en-US" w:eastAsia="ru-RU"/>
        </w:rPr>
        <w:t>Risk</w:t>
      </w:r>
      <w:r w:rsidRPr="000B3080">
        <w:rPr>
          <w:rFonts w:ascii="Calibri" w:eastAsia="Times New Roman" w:hAnsi="Calibri" w:cs="Times New Roman"/>
          <w:color w:val="000000"/>
          <w:lang w:eastAsia="ru-RU"/>
        </w:rPr>
        <w:t>) – выраженн</w:t>
      </w:r>
      <w:r>
        <w:rPr>
          <w:rFonts w:ascii="Calibri" w:eastAsia="Times New Roman" w:hAnsi="Calibri" w:cs="Times New Roman"/>
          <w:color w:val="000000"/>
          <w:lang w:eastAsia="ru-RU"/>
        </w:rPr>
        <w:t>ую</w:t>
      </w:r>
      <w:r w:rsidRPr="000B3080">
        <w:rPr>
          <w:rFonts w:ascii="Calibri" w:eastAsia="Times New Roman" w:hAnsi="Calibri" w:cs="Times New Roman"/>
          <w:color w:val="000000"/>
          <w:lang w:eastAsia="ru-RU"/>
        </w:rPr>
        <w:t xml:space="preserve"> в денежных единицах оценк</w:t>
      </w:r>
      <w:r>
        <w:rPr>
          <w:rFonts w:ascii="Calibri" w:eastAsia="Times New Roman" w:hAnsi="Calibri" w:cs="Times New Roman"/>
          <w:color w:val="000000"/>
          <w:lang w:eastAsia="ru-RU"/>
        </w:rPr>
        <w:t>у</w:t>
      </w:r>
      <w:r w:rsidRPr="000B3080">
        <w:rPr>
          <w:rFonts w:ascii="Calibri" w:eastAsia="Times New Roman" w:hAnsi="Calibri" w:cs="Times New Roman"/>
          <w:color w:val="000000"/>
          <w:lang w:eastAsia="ru-RU"/>
        </w:rPr>
        <w:t xml:space="preserve"> величины, которую не превысят ожидаемые в течение данного периода времени потери с заданной вероятностью</w:t>
      </w:r>
      <w:r>
        <w:rPr>
          <w:rFonts w:ascii="Calibri" w:eastAsia="Times New Roman" w:hAnsi="Calibri" w:cs="Times New Roman"/>
          <w:color w:val="000000"/>
          <w:lang w:eastAsia="ru-RU"/>
        </w:rPr>
        <w:t>. Немного сложно? Поясним.</w:t>
      </w:r>
      <w:r w:rsidRPr="000B308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В</w:t>
      </w:r>
      <w:r w:rsidRPr="000B3080">
        <w:rPr>
          <w:rFonts w:ascii="Calibri" w:eastAsia="Times New Roman" w:hAnsi="Calibri" w:cs="Times New Roman"/>
          <w:color w:val="000000"/>
          <w:lang w:eastAsia="ru-RU"/>
        </w:rPr>
        <w:t xml:space="preserve">ычисление </w:t>
      </w:r>
      <w:proofErr w:type="spellStart"/>
      <w:r w:rsidRPr="000B3080">
        <w:rPr>
          <w:rFonts w:ascii="Calibri" w:eastAsia="Times New Roman" w:hAnsi="Calibri" w:cs="Times New Roman"/>
          <w:color w:val="000000"/>
          <w:lang w:eastAsia="ru-RU"/>
        </w:rPr>
        <w:t>VaR</w:t>
      </w:r>
      <w:proofErr w:type="spellEnd"/>
      <w:r w:rsidRPr="000B308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позволяет сказать</w:t>
      </w:r>
      <w:r w:rsidRPr="000B3080">
        <w:rPr>
          <w:rFonts w:ascii="Calibri" w:eastAsia="Times New Roman" w:hAnsi="Calibri" w:cs="Times New Roman"/>
          <w:color w:val="000000"/>
          <w:lang w:eastAsia="ru-RU"/>
        </w:rPr>
        <w:t xml:space="preserve">: </w:t>
      </w:r>
      <w:r>
        <w:rPr>
          <w:rFonts w:ascii="Calibri" w:eastAsia="Times New Roman" w:hAnsi="Calibri" w:cs="Times New Roman"/>
          <w:color w:val="000000"/>
          <w:lang w:eastAsia="ru-RU"/>
        </w:rPr>
        <w:t>«</w:t>
      </w:r>
      <w:r w:rsidRPr="000B3080">
        <w:rPr>
          <w:rFonts w:ascii="Calibri" w:eastAsia="Times New Roman" w:hAnsi="Calibri" w:cs="Times New Roman"/>
          <w:color w:val="000000"/>
          <w:lang w:eastAsia="ru-RU"/>
        </w:rPr>
        <w:t>Мы уверены на X%, что наши потери не превысят Y долл</w:t>
      </w:r>
      <w:r>
        <w:rPr>
          <w:rFonts w:ascii="Calibri" w:eastAsia="Times New Roman" w:hAnsi="Calibri" w:cs="Times New Roman"/>
          <w:color w:val="000000"/>
          <w:lang w:eastAsia="ru-RU"/>
        </w:rPr>
        <w:t>аров в течение следующих N дней»</w:t>
      </w:r>
      <w:r w:rsidRPr="000B3080">
        <w:rPr>
          <w:rFonts w:ascii="Calibri" w:eastAsia="Times New Roman" w:hAnsi="Calibri" w:cs="Times New Roman"/>
          <w:color w:val="000000"/>
          <w:lang w:eastAsia="ru-RU"/>
        </w:rPr>
        <w:t xml:space="preserve">. В данном предложении неизвестная величина Y и есть </w:t>
      </w:r>
      <w:proofErr w:type="spellStart"/>
      <w:r w:rsidRPr="000B3080">
        <w:rPr>
          <w:rFonts w:ascii="Calibri" w:eastAsia="Times New Roman" w:hAnsi="Calibri" w:cs="Times New Roman"/>
          <w:color w:val="000000"/>
          <w:lang w:eastAsia="ru-RU"/>
        </w:rPr>
        <w:t>VaR</w:t>
      </w:r>
      <w:proofErr w:type="spellEnd"/>
      <w:r w:rsidRPr="000B3080">
        <w:rPr>
          <w:rFonts w:ascii="Calibri" w:eastAsia="Times New Roman" w:hAnsi="Calibri" w:cs="Times New Roman"/>
          <w:color w:val="000000"/>
          <w:lang w:eastAsia="ru-RU"/>
        </w:rPr>
        <w:t>.</w:t>
      </w:r>
      <w:r w:rsidR="008C0DD7">
        <w:rPr>
          <w:rFonts w:ascii="Calibri" w:eastAsia="Times New Roman" w:hAnsi="Calibri" w:cs="Times New Roman"/>
          <w:color w:val="000000"/>
          <w:lang w:eastAsia="ru-RU"/>
        </w:rPr>
        <w:t xml:space="preserve"> Представляете, что будет с этим </w:t>
      </w:r>
      <w:r w:rsidR="008C0DD7">
        <w:rPr>
          <w:rFonts w:ascii="Calibri" w:eastAsia="Times New Roman" w:hAnsi="Calibri" w:cs="Times New Roman"/>
          <w:color w:val="000000"/>
          <w:lang w:val="en-US" w:eastAsia="ru-RU"/>
        </w:rPr>
        <w:t>Y</w:t>
      </w:r>
      <w:r w:rsidR="008C0DD7" w:rsidRPr="008C0DD7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proofErr w:type="spellStart"/>
      <w:r w:rsidR="008C0DD7">
        <w:rPr>
          <w:rFonts w:ascii="Calibri" w:eastAsia="Times New Roman" w:hAnsi="Calibri" w:cs="Times New Roman"/>
          <w:color w:val="000000"/>
          <w:lang w:val="en-US" w:eastAsia="ru-RU"/>
        </w:rPr>
        <w:t>VaR</w:t>
      </w:r>
      <w:proofErr w:type="spellEnd"/>
      <w:r w:rsidR="008C0DD7" w:rsidRPr="008C0DD7">
        <w:rPr>
          <w:rFonts w:ascii="Calibri" w:eastAsia="Times New Roman" w:hAnsi="Calibri" w:cs="Times New Roman"/>
          <w:color w:val="000000"/>
          <w:lang w:eastAsia="ru-RU"/>
        </w:rPr>
        <w:t>)</w:t>
      </w:r>
      <w:r w:rsidR="008C0DD7">
        <w:rPr>
          <w:rFonts w:ascii="Calibri" w:eastAsia="Times New Roman" w:hAnsi="Calibri" w:cs="Times New Roman"/>
          <w:color w:val="000000"/>
          <w:lang w:eastAsia="ru-RU"/>
        </w:rPr>
        <w:t>, если распределение не является нормальным, а наоборот, близким к тому, что мы наблюдаем на курсе доллара!?</w:t>
      </w:r>
    </w:p>
    <w:p w:rsidR="000B3080" w:rsidRDefault="00A752D4" w:rsidP="00FC2D5F">
      <w:pPr>
        <w:spacing w:before="120"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Например, на основании гаус</w:t>
      </w:r>
      <w:r w:rsidR="008C0DD7">
        <w:rPr>
          <w:rFonts w:ascii="Calibri" w:eastAsia="Times New Roman" w:hAnsi="Calibri" w:cs="Times New Roman"/>
          <w:color w:val="000000"/>
          <w:lang w:eastAsia="ru-RU"/>
        </w:rPr>
        <w:t xml:space="preserve">сова распределения мы утверждаем: «С вероятностью 99,996% наши потери в течение следующего дня не превысят </w:t>
      </w:r>
      <w:r w:rsidR="008C0DD7" w:rsidRPr="008C0DD7">
        <w:rPr>
          <w:rFonts w:ascii="Calibri" w:eastAsia="Times New Roman" w:hAnsi="Calibri" w:cs="Times New Roman"/>
          <w:color w:val="000000"/>
          <w:lang w:eastAsia="ru-RU"/>
        </w:rPr>
        <w:t>$</w:t>
      </w:r>
      <w:r w:rsidR="008C0DD7">
        <w:rPr>
          <w:rFonts w:ascii="Calibri" w:eastAsia="Times New Roman" w:hAnsi="Calibri" w:cs="Times New Roman"/>
          <w:color w:val="000000"/>
          <w:lang w:eastAsia="ru-RU"/>
        </w:rPr>
        <w:t xml:space="preserve"> 10 млн.» То есть, вероятность таких потерь только один шанс из 15 800. На самом же деле (на основании выявленной степенной зависимости), следует </w:t>
      </w:r>
      <w:r w:rsidR="008C0DD7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сказать: «С вероятностью 99,15% наши потери в течение следующего дня не превысят </w:t>
      </w:r>
      <w:r w:rsidR="008C0DD7" w:rsidRPr="008C0DD7">
        <w:rPr>
          <w:rFonts w:ascii="Calibri" w:eastAsia="Times New Roman" w:hAnsi="Calibri" w:cs="Times New Roman"/>
          <w:color w:val="000000"/>
          <w:lang w:eastAsia="ru-RU"/>
        </w:rPr>
        <w:t>$</w:t>
      </w:r>
      <w:r w:rsidR="008C0DD7">
        <w:rPr>
          <w:rFonts w:ascii="Calibri" w:eastAsia="Times New Roman" w:hAnsi="Calibri" w:cs="Times New Roman"/>
          <w:color w:val="000000"/>
          <w:lang w:eastAsia="ru-RU"/>
        </w:rPr>
        <w:t xml:space="preserve"> 10 млн.» Теперь наши шансы понести потери – один из 117. В 135 раз выше!</w:t>
      </w:r>
    </w:p>
    <w:p w:rsidR="00EC1C30" w:rsidRPr="008C0DD7" w:rsidRDefault="00EC1C30" w:rsidP="00FC2D5F">
      <w:pPr>
        <w:spacing w:before="120" w:after="120" w:line="240" w:lineRule="auto"/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Не играйте в азартные биржевые игры! Берегите себя! </w:t>
      </w:r>
      <w:r w:rsidRPr="00EC1C30">
        <w:rPr>
          <w:rFonts w:ascii="Calibri" w:eastAsia="Times New Roman" w:hAnsi="Calibri" w:cs="Times New Roman"/>
          <w:color w:val="000000"/>
          <w:lang w:eastAsia="ru-RU"/>
        </w:rPr>
        <w:sym w:font="Wingdings" w:char="F04A"/>
      </w:r>
    </w:p>
    <w:p w:rsidR="005E4B74" w:rsidRDefault="005E4B74" w:rsidP="00523356">
      <w:pPr>
        <w:spacing w:after="120" w:line="240" w:lineRule="auto"/>
      </w:pPr>
    </w:p>
    <w:sectPr w:rsidR="005E4B74" w:rsidSect="0052335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D7" w:rsidRDefault="008C0DD7" w:rsidP="00C03667">
      <w:pPr>
        <w:spacing w:after="0" w:line="240" w:lineRule="auto"/>
      </w:pPr>
      <w:r>
        <w:separator/>
      </w:r>
    </w:p>
  </w:endnote>
  <w:endnote w:type="continuationSeparator" w:id="0">
    <w:p w:rsidR="008C0DD7" w:rsidRDefault="008C0DD7" w:rsidP="00C0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D7" w:rsidRDefault="008C0DD7" w:rsidP="00C03667">
      <w:pPr>
        <w:spacing w:after="0" w:line="240" w:lineRule="auto"/>
      </w:pPr>
      <w:r>
        <w:separator/>
      </w:r>
    </w:p>
  </w:footnote>
  <w:footnote w:type="continuationSeparator" w:id="0">
    <w:p w:rsidR="008C0DD7" w:rsidRDefault="008C0DD7" w:rsidP="00C03667">
      <w:pPr>
        <w:spacing w:after="0" w:line="240" w:lineRule="auto"/>
      </w:pPr>
      <w:r>
        <w:continuationSeparator/>
      </w:r>
    </w:p>
  </w:footnote>
  <w:footnote w:id="1">
    <w:p w:rsidR="008C0DD7" w:rsidRDefault="008C0DD7">
      <w:pPr>
        <w:pStyle w:val="a4"/>
      </w:pPr>
      <w:r>
        <w:rPr>
          <w:rStyle w:val="a6"/>
        </w:rPr>
        <w:footnoteRef/>
      </w:r>
      <w:r>
        <w:t xml:space="preserve"> В упомянутой книге Мандельброт исследует колебания индекса Доу-Джонса за период 1916–2003.</w:t>
      </w:r>
    </w:p>
  </w:footnote>
  <w:footnote w:id="2">
    <w:p w:rsidR="008C0DD7" w:rsidRDefault="008C0DD7">
      <w:pPr>
        <w:pStyle w:val="a4"/>
      </w:pPr>
      <w:r>
        <w:rPr>
          <w:rStyle w:val="a6"/>
        </w:rPr>
        <w:footnoteRef/>
      </w:r>
      <w:r>
        <w:t xml:space="preserve"> В таблице (файл </w:t>
      </w:r>
      <w:r>
        <w:rPr>
          <w:lang w:val="en-US"/>
        </w:rPr>
        <w:t>Excel</w:t>
      </w:r>
      <w:r w:rsidRPr="00483FBA">
        <w:t>)</w:t>
      </w:r>
      <w:r>
        <w:t xml:space="preserve"> и на графике (рис. 1) отражены только дни, в которые велись торги. Праздники и выходные в них не отражены. Поэтому и разность двух торговых дней всегда значима.</w:t>
      </w:r>
    </w:p>
  </w:footnote>
  <w:footnote w:id="3">
    <w:p w:rsidR="008C0DD7" w:rsidRDefault="008C0DD7">
      <w:pPr>
        <w:pStyle w:val="a4"/>
      </w:pPr>
      <w:r>
        <w:rPr>
          <w:rStyle w:val="a6"/>
        </w:rPr>
        <w:footnoteRef/>
      </w:r>
      <w:r>
        <w:t xml:space="preserve"> Если быть точным, в нашем случае эта цифра равна 20,44%.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6EF"/>
    <w:rsid w:val="0003267A"/>
    <w:rsid w:val="00070AD7"/>
    <w:rsid w:val="000B2EB1"/>
    <w:rsid w:val="000B3080"/>
    <w:rsid w:val="000F69FE"/>
    <w:rsid w:val="001B532E"/>
    <w:rsid w:val="002721F6"/>
    <w:rsid w:val="00277057"/>
    <w:rsid w:val="002D4DCC"/>
    <w:rsid w:val="00325D23"/>
    <w:rsid w:val="003536EF"/>
    <w:rsid w:val="0047226F"/>
    <w:rsid w:val="00475275"/>
    <w:rsid w:val="00483FBA"/>
    <w:rsid w:val="004B2C38"/>
    <w:rsid w:val="00506647"/>
    <w:rsid w:val="00523356"/>
    <w:rsid w:val="0058736C"/>
    <w:rsid w:val="005A3895"/>
    <w:rsid w:val="005E4B74"/>
    <w:rsid w:val="005F3F34"/>
    <w:rsid w:val="00611115"/>
    <w:rsid w:val="007867BF"/>
    <w:rsid w:val="00824A41"/>
    <w:rsid w:val="008C0DD7"/>
    <w:rsid w:val="008F1BBB"/>
    <w:rsid w:val="00923638"/>
    <w:rsid w:val="0094439D"/>
    <w:rsid w:val="00985D35"/>
    <w:rsid w:val="00A752D4"/>
    <w:rsid w:val="00AB541C"/>
    <w:rsid w:val="00AC645D"/>
    <w:rsid w:val="00B374DA"/>
    <w:rsid w:val="00BA28E7"/>
    <w:rsid w:val="00C03667"/>
    <w:rsid w:val="00C25B94"/>
    <w:rsid w:val="00C86C67"/>
    <w:rsid w:val="00C87F1B"/>
    <w:rsid w:val="00CC11BC"/>
    <w:rsid w:val="00E370E7"/>
    <w:rsid w:val="00EB379D"/>
    <w:rsid w:val="00EC1C30"/>
    <w:rsid w:val="00F84728"/>
    <w:rsid w:val="00FC2D5F"/>
    <w:rsid w:val="00FC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35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036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36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0366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8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0%D0%BD%D0%B4%D0%B0%D1%80%D1%82%D0%BD%D0%BE%D0%B5_%D0%BE%D1%82%D0%BA%D0%BB%D0%BE%D0%BD%D0%B5%D0%BD%D0%B8%D0%B5" TargetMode="External"/><Relationship Id="rId13" Type="http://schemas.openxmlformats.org/officeDocument/2006/relationships/hyperlink" Target="http://baguzin.ru/wp/?p=310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guzin.ru/wp/?p=1604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baguzin.ru/wp/?p=1716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baguzin.ru/wp/?p=117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7143-FEFC-46BB-B598-D457FBA1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2</cp:revision>
  <dcterms:created xsi:type="dcterms:W3CDTF">2011-09-18T14:19:00Z</dcterms:created>
  <dcterms:modified xsi:type="dcterms:W3CDTF">2011-09-18T14:19:00Z</dcterms:modified>
</cp:coreProperties>
</file>