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2" w:rsidRPr="007D4B6A" w:rsidRDefault="007D4B6A" w:rsidP="00FF4070">
      <w:pPr>
        <w:pStyle w:val="a5"/>
        <w:numPr>
          <w:ilvl w:val="1"/>
          <w:numId w:val="16"/>
        </w:numPr>
        <w:spacing w:after="120" w:line="240" w:lineRule="auto"/>
        <w:contextualSpacing w:val="0"/>
        <w:rPr>
          <w:b/>
          <w:sz w:val="28"/>
        </w:rPr>
      </w:pPr>
      <w:proofErr w:type="spellStart"/>
      <w:r w:rsidRPr="007D4B6A">
        <w:rPr>
          <w:b/>
          <w:sz w:val="28"/>
        </w:rPr>
        <w:t>Ка</w:t>
      </w:r>
      <w:r>
        <w:rPr>
          <w:b/>
          <w:sz w:val="28"/>
        </w:rPr>
        <w:t>лькулирование</w:t>
      </w:r>
      <w:proofErr w:type="spellEnd"/>
      <w:r>
        <w:rPr>
          <w:b/>
          <w:sz w:val="28"/>
        </w:rPr>
        <w:t xml:space="preserve"> себестоимости продукции</w:t>
      </w:r>
    </w:p>
    <w:p w:rsidR="00C61303" w:rsidRPr="00C61303" w:rsidRDefault="00C61303" w:rsidP="00FF4070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61303">
        <w:rPr>
          <w:rFonts w:asciiTheme="minorHAnsi" w:hAnsiTheme="minorHAnsi" w:cstheme="minorHAnsi"/>
          <w:color w:val="000000"/>
          <w:sz w:val="22"/>
          <w:szCs w:val="22"/>
        </w:rPr>
        <w:t xml:space="preserve">Настоящая заметка написана в рамках подготовки курса для магистров </w:t>
      </w:r>
      <w:hyperlink r:id="rId8" w:history="1">
        <w:r w:rsidRPr="00C61303">
          <w:rPr>
            <w:rStyle w:val="aa"/>
            <w:rFonts w:asciiTheme="minorHAnsi" w:hAnsiTheme="minorHAnsi" w:cstheme="minorHAnsi"/>
            <w:bCs/>
            <w:sz w:val="22"/>
            <w:szCs w:val="22"/>
          </w:rPr>
          <w:t>«Современный управленческий учет»</w:t>
        </w:r>
      </w:hyperlink>
      <w:r w:rsidRPr="00C6130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61303">
        <w:rPr>
          <w:rFonts w:asciiTheme="minorHAnsi" w:hAnsiTheme="minorHAnsi" w:cstheme="minorHAnsi"/>
          <w:color w:val="000000"/>
          <w:sz w:val="22"/>
          <w:szCs w:val="22"/>
        </w:rPr>
        <w:t xml:space="preserve">и продолжает серию публикаций отдельных тем. Ранее были опубликованы: </w:t>
      </w:r>
      <w:hyperlink r:id="rId9" w:history="1">
        <w:r w:rsidRPr="00C61303">
          <w:rPr>
            <w:rStyle w:val="aa"/>
            <w:rFonts w:asciiTheme="minorHAnsi" w:hAnsiTheme="minorHAnsi" w:cstheme="minorHAnsi"/>
            <w:sz w:val="22"/>
            <w:szCs w:val="22"/>
          </w:rPr>
          <w:t>2.1. Поведение затрат при изменении объемов деятельности</w:t>
        </w:r>
      </w:hyperlink>
    </w:p>
    <w:p w:rsidR="00C61303" w:rsidRPr="00C61303" w:rsidRDefault="00622F22" w:rsidP="00FF4070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C61303" w:rsidRPr="00C61303">
          <w:rPr>
            <w:rStyle w:val="aa"/>
            <w:rFonts w:asciiTheme="minorHAnsi" w:hAnsiTheme="minorHAnsi" w:cstheme="minorHAnsi"/>
            <w:sz w:val="22"/>
            <w:szCs w:val="22"/>
          </w:rPr>
          <w:t>2.2. Анализ безубыточности</w:t>
        </w:r>
      </w:hyperlink>
    </w:p>
    <w:p w:rsidR="00C61303" w:rsidRPr="00C61303" w:rsidRDefault="00622F22" w:rsidP="00FF4070">
      <w:pPr>
        <w:pStyle w:val="a9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C61303" w:rsidRPr="00C61303">
          <w:rPr>
            <w:rStyle w:val="aa"/>
            <w:rFonts w:asciiTheme="minorHAnsi" w:hAnsiTheme="minorHAnsi" w:cstheme="minorHAnsi"/>
            <w:sz w:val="22"/>
            <w:szCs w:val="22"/>
          </w:rPr>
          <w:t>2.3. Использование анализа затрат для принятия управленческих решений</w:t>
        </w:r>
      </w:hyperlink>
    </w:p>
    <w:p w:rsidR="00916912" w:rsidRDefault="00FF4070" w:rsidP="00916912">
      <w:pPr>
        <w:spacing w:after="0" w:line="240" w:lineRule="auto"/>
      </w:pPr>
      <w:r>
        <w:t>Отнесение затрат на отдельные виды продукции является важны</w:t>
      </w:r>
      <w:r w:rsidR="00543088">
        <w:t>м</w:t>
      </w:r>
      <w:r>
        <w:t xml:space="preserve"> элемент</w:t>
      </w:r>
      <w:r w:rsidR="00543088">
        <w:t>ом</w:t>
      </w:r>
      <w:r>
        <w:t xml:space="preserve"> управленческого учета. Знание того, во сколько компании обходится</w:t>
      </w:r>
      <w:r w:rsidR="00543088">
        <w:t xml:space="preserve"> производство</w:t>
      </w:r>
      <w:r>
        <w:t xml:space="preserve"> </w:t>
      </w:r>
      <w:r w:rsidR="00916912">
        <w:t xml:space="preserve">того или иного </w:t>
      </w:r>
      <w:r>
        <w:t xml:space="preserve">товара или </w:t>
      </w:r>
      <w:r w:rsidR="00543088">
        <w:t xml:space="preserve">предоставление </w:t>
      </w:r>
      <w:r>
        <w:t>услуги</w:t>
      </w:r>
      <w:r w:rsidR="00916912">
        <w:t xml:space="preserve">, может влиять на различные </w:t>
      </w:r>
      <w:r>
        <w:t>решения</w:t>
      </w:r>
      <w:r w:rsidR="00343904">
        <w:t>. В частности:</w:t>
      </w:r>
    </w:p>
    <w:p w:rsidR="00916912" w:rsidRDefault="00916912" w:rsidP="00916912">
      <w:pPr>
        <w:pStyle w:val="a5"/>
        <w:numPr>
          <w:ilvl w:val="0"/>
          <w:numId w:val="17"/>
        </w:numPr>
        <w:spacing w:after="120" w:line="240" w:lineRule="auto"/>
      </w:pPr>
      <w:r>
        <w:t>установление цены или диапазона допустимых цен</w:t>
      </w:r>
      <w:r w:rsidR="00343904">
        <w:t>;</w:t>
      </w:r>
    </w:p>
    <w:p w:rsidR="00916912" w:rsidRDefault="00343904" w:rsidP="00916912">
      <w:pPr>
        <w:pStyle w:val="a5"/>
        <w:numPr>
          <w:ilvl w:val="0"/>
          <w:numId w:val="17"/>
        </w:numPr>
        <w:spacing w:after="120" w:line="240" w:lineRule="auto"/>
      </w:pPr>
      <w:r>
        <w:t xml:space="preserve">изменение </w:t>
      </w:r>
      <w:r w:rsidR="00916912">
        <w:t>объем</w:t>
      </w:r>
      <w:r>
        <w:t>а</w:t>
      </w:r>
      <w:r w:rsidR="00916912">
        <w:t xml:space="preserve"> выпуска, приоритеты выпуска той или иной продукции</w:t>
      </w:r>
      <w:r>
        <w:t>;</w:t>
      </w:r>
    </w:p>
    <w:p w:rsidR="00916912" w:rsidRDefault="00343904" w:rsidP="00916912">
      <w:pPr>
        <w:pStyle w:val="a5"/>
        <w:numPr>
          <w:ilvl w:val="0"/>
          <w:numId w:val="17"/>
        </w:numPr>
        <w:spacing w:after="120" w:line="240" w:lineRule="auto"/>
      </w:pPr>
      <w:r>
        <w:t xml:space="preserve">расчет </w:t>
      </w:r>
      <w:r w:rsidR="00916912">
        <w:t>бонус</w:t>
      </w:r>
      <w:r>
        <w:t>ов</w:t>
      </w:r>
      <w:r w:rsidR="00916912">
        <w:t xml:space="preserve"> сотрудник</w:t>
      </w:r>
      <w:r>
        <w:t>ов</w:t>
      </w:r>
      <w:r w:rsidR="00916912">
        <w:t xml:space="preserve"> за объем продаж и </w:t>
      </w:r>
      <w:proofErr w:type="spellStart"/>
      <w:r w:rsidR="00916912">
        <w:t>маржинальность</w:t>
      </w:r>
      <w:proofErr w:type="spellEnd"/>
      <w:r w:rsidR="00916912">
        <w:t xml:space="preserve"> сделок</w:t>
      </w:r>
      <w:r>
        <w:t>;</w:t>
      </w:r>
    </w:p>
    <w:p w:rsidR="00916912" w:rsidRDefault="00916912" w:rsidP="00916912">
      <w:pPr>
        <w:pStyle w:val="a5"/>
        <w:numPr>
          <w:ilvl w:val="0"/>
          <w:numId w:val="17"/>
        </w:numPr>
        <w:spacing w:after="120" w:line="240" w:lineRule="auto"/>
      </w:pPr>
      <w:r>
        <w:t>производство на склад или под заказ</w:t>
      </w:r>
      <w:r w:rsidR="00343904">
        <w:t>;</w:t>
      </w:r>
    </w:p>
    <w:p w:rsidR="00916912" w:rsidRDefault="00916912" w:rsidP="00916912">
      <w:pPr>
        <w:pStyle w:val="a5"/>
        <w:numPr>
          <w:ilvl w:val="0"/>
          <w:numId w:val="17"/>
        </w:numPr>
        <w:spacing w:after="120" w:line="240" w:lineRule="auto"/>
      </w:pPr>
      <w:r>
        <w:t>отказ от выпуска продукции</w:t>
      </w:r>
      <w:r w:rsidR="00343904">
        <w:t>.</w:t>
      </w:r>
    </w:p>
    <w:p w:rsidR="00FF4070" w:rsidRDefault="00FF4070" w:rsidP="00FF4070">
      <w:pPr>
        <w:spacing w:after="120" w:line="240" w:lineRule="auto"/>
      </w:pPr>
      <w:r>
        <w:t xml:space="preserve">Для целей </w:t>
      </w:r>
      <w:proofErr w:type="spellStart"/>
      <w:r>
        <w:t>калькулирования</w:t>
      </w:r>
      <w:proofErr w:type="spellEnd"/>
      <w:r>
        <w:t xml:space="preserve"> </w:t>
      </w:r>
      <w:r w:rsidR="00916912">
        <w:t xml:space="preserve">себестоимости продукции затраты, как правило, </w:t>
      </w:r>
      <w:r>
        <w:t>разделяют на прямые и косвенные.</w:t>
      </w:r>
    </w:p>
    <w:p w:rsidR="00C51851" w:rsidRDefault="00FF4070" w:rsidP="00C51851">
      <w:pPr>
        <w:spacing w:after="120" w:line="240" w:lineRule="auto"/>
      </w:pPr>
      <w:r w:rsidRPr="00916912">
        <w:rPr>
          <w:b/>
        </w:rPr>
        <w:t>Прямые затраты</w:t>
      </w:r>
      <w:r>
        <w:t xml:space="preserve"> </w:t>
      </w:r>
      <w:r w:rsidR="00916912">
        <w:t>–</w:t>
      </w:r>
      <w:r>
        <w:t xml:space="preserve"> расходы, которые могут быть отнесены на конкретную единицу </w:t>
      </w:r>
      <w:r w:rsidR="005E32DA">
        <w:t>продукции</w:t>
      </w:r>
      <w:r>
        <w:t xml:space="preserve">; например, материал, </w:t>
      </w:r>
      <w:r w:rsidR="005E32DA">
        <w:t>полностью использованный при производстве изделия, комиссионное вознаграждение продавца, услуги по доставке товара покупателю.</w:t>
      </w:r>
      <w:r w:rsidR="00C51851">
        <w:t xml:space="preserve"> В традиционном управленческом учете к прямым затратам также относят оплату труда сотрудников, занятых на производстве</w:t>
      </w:r>
      <w:r w:rsidR="006E31A5">
        <w:rPr>
          <w:rStyle w:val="a8"/>
        </w:rPr>
        <w:footnoteReference w:id="1"/>
      </w:r>
      <w:r w:rsidR="00C51851">
        <w:t>.</w:t>
      </w:r>
      <w:r w:rsidR="00182B31">
        <w:t xml:space="preserve"> </w:t>
      </w:r>
      <w:r w:rsidR="00C51851">
        <w:t>Прямые затраты могут быть постоянными и переменными. В любом случае, они</w:t>
      </w:r>
      <w:r>
        <w:t xml:space="preserve"> относят</w:t>
      </w:r>
      <w:r w:rsidR="00C51851">
        <w:t>ся</w:t>
      </w:r>
      <w:r>
        <w:t xml:space="preserve"> на единицы </w:t>
      </w:r>
      <w:r w:rsidR="00C51851">
        <w:t>продукции, которые были произведены благодаря этим затратам.</w:t>
      </w:r>
    </w:p>
    <w:p w:rsidR="00182B31" w:rsidRDefault="00182B31" w:rsidP="00C51851">
      <w:pPr>
        <w:spacing w:after="120" w:line="240" w:lineRule="auto"/>
      </w:pPr>
      <w:r w:rsidRPr="00182B31">
        <w:rPr>
          <w:b/>
        </w:rPr>
        <w:t>Косвенные затраты</w:t>
      </w:r>
      <w:r>
        <w:t xml:space="preserve"> – расходы на оплату труда, материалы и услуги, которые </w:t>
      </w:r>
      <w:r w:rsidRPr="00182B31">
        <w:t>[</w:t>
      </w:r>
      <w:r>
        <w:t>расходы</w:t>
      </w:r>
      <w:r w:rsidRPr="00182B31">
        <w:t>]</w:t>
      </w:r>
      <w:r>
        <w:t xml:space="preserve"> не могут быть отнесены на конкретные единицы продукции. Косвенные затраты также называют накладными. Для отнесения таких затрат на отдельные изделия </w:t>
      </w:r>
      <w:r w:rsidR="009D7AB9">
        <w:t xml:space="preserve">необходимо </w:t>
      </w:r>
      <w:r>
        <w:t>использ</w:t>
      </w:r>
      <w:r w:rsidR="009D7AB9">
        <w:t>овать</w:t>
      </w:r>
      <w:r>
        <w:t xml:space="preserve"> </w:t>
      </w:r>
      <w:r w:rsidR="006E31A5">
        <w:t>релевантн</w:t>
      </w:r>
      <w:r w:rsidR="009D7AB9">
        <w:t>ую</w:t>
      </w:r>
      <w:r>
        <w:t xml:space="preserve"> баз</w:t>
      </w:r>
      <w:r w:rsidR="009D7AB9">
        <w:t>у</w:t>
      </w:r>
      <w:r>
        <w:t xml:space="preserve"> разнесения. Например, </w:t>
      </w:r>
      <w:r w:rsidR="00747EC1">
        <w:t xml:space="preserve">некоторые </w:t>
      </w:r>
      <w:r w:rsidR="006E31A5">
        <w:t xml:space="preserve">косвенные затраты распределяют </w:t>
      </w:r>
      <w:r>
        <w:t>пропорционально заработной плате производственных рабочих</w:t>
      </w:r>
      <w:r w:rsidR="006E31A5">
        <w:t>,</w:t>
      </w:r>
      <w:r>
        <w:t xml:space="preserve"> или объему продаж в денежном выражении</w:t>
      </w:r>
      <w:r w:rsidR="006E31A5">
        <w:t>, или машинному времени</w:t>
      </w:r>
      <w:r>
        <w:t>…</w:t>
      </w:r>
    </w:p>
    <w:p w:rsidR="00747EC1" w:rsidRDefault="00747EC1" w:rsidP="006D1951">
      <w:pPr>
        <w:spacing w:after="120" w:line="240" w:lineRule="auto"/>
      </w:pPr>
      <w:r>
        <w:t xml:space="preserve">Рассмотрим раздельно принципы разнесения производственных и непроизводственных накладных расходов. </w:t>
      </w:r>
    </w:p>
    <w:p w:rsidR="00CD4098" w:rsidRDefault="00343904" w:rsidP="006D1951">
      <w:pPr>
        <w:spacing w:after="120" w:line="240" w:lineRule="auto"/>
      </w:pPr>
      <w:r>
        <w:t xml:space="preserve">Для распределения </w:t>
      </w:r>
      <w:r w:rsidR="00182B31" w:rsidRPr="00747EC1">
        <w:rPr>
          <w:b/>
        </w:rPr>
        <w:t>производст</w:t>
      </w:r>
      <w:r w:rsidR="006D1951" w:rsidRPr="00747EC1">
        <w:rPr>
          <w:b/>
        </w:rPr>
        <w:t>венных накладных расходов</w:t>
      </w:r>
      <w:r w:rsidR="006D1951">
        <w:t xml:space="preserve"> на определенные едини</w:t>
      </w:r>
      <w:r w:rsidR="006E31A5">
        <w:t xml:space="preserve">цы </w:t>
      </w:r>
      <w:r>
        <w:t>продукции</w:t>
      </w:r>
      <w:r w:rsidR="006D1951">
        <w:t xml:space="preserve"> необходимо </w:t>
      </w:r>
      <w:r w:rsidR="00747EC1">
        <w:t xml:space="preserve">выделить </w:t>
      </w:r>
      <w:r w:rsidR="006D1951">
        <w:t>центр</w:t>
      </w:r>
      <w:r w:rsidR="00747EC1">
        <w:t>ы</w:t>
      </w:r>
      <w:r w:rsidR="006D1951">
        <w:t xml:space="preserve"> зат</w:t>
      </w:r>
      <w:r w:rsidR="006E31A5">
        <w:t xml:space="preserve">рат и </w:t>
      </w:r>
      <w:r w:rsidRPr="00343904">
        <w:rPr>
          <w:i/>
        </w:rPr>
        <w:t>релевантную</w:t>
      </w:r>
      <w:r w:rsidR="006D1951">
        <w:t xml:space="preserve"> баз</w:t>
      </w:r>
      <w:r w:rsidR="005E2D58">
        <w:t>у</w:t>
      </w:r>
      <w:r w:rsidR="006D1951">
        <w:t xml:space="preserve"> распределения</w:t>
      </w:r>
      <w:r w:rsidR="006E31A5">
        <w:t xml:space="preserve">. </w:t>
      </w:r>
      <w:r w:rsidR="005E2D58">
        <w:t xml:space="preserve">Для начала </w:t>
      </w:r>
      <w:r w:rsidR="006D1951">
        <w:t>косвенные расходы делятся на основе с</w:t>
      </w:r>
      <w:r w:rsidR="0056336C">
        <w:t xml:space="preserve">оответствующей базы между центрами </w:t>
      </w:r>
      <w:r w:rsidR="005E2D58">
        <w:t>затрат</w:t>
      </w:r>
      <w:r w:rsidR="0056336C">
        <w:t>.</w:t>
      </w:r>
      <w:r w:rsidR="005E2D58">
        <w:t xml:space="preserve"> При этом, если какие-то косвенные расходы целиком ложатся на один из центров затрат, то эти затраты исключаются из базы распределения затрат и относятся полностью на один центр затрат. После распределения всех косвенных производственных затрат по центрам затрат, необходимо распределить затраты </w:t>
      </w:r>
      <w:r w:rsidRPr="00343904">
        <w:t>[</w:t>
      </w:r>
      <w:r>
        <w:t>в рамках одного центра</w:t>
      </w:r>
      <w:r w:rsidRPr="00343904">
        <w:t>]</w:t>
      </w:r>
      <w:r>
        <w:t xml:space="preserve"> </w:t>
      </w:r>
      <w:r w:rsidR="005E2D58">
        <w:t>по видам и единиц</w:t>
      </w:r>
      <w:r w:rsidR="00615DEA">
        <w:t>ам продукции. Обратимся к примеру</w:t>
      </w:r>
      <w:r w:rsidR="005E2D58">
        <w:t>.</w:t>
      </w:r>
    </w:p>
    <w:p w:rsidR="00747EC1" w:rsidRDefault="00747EC1" w:rsidP="00747EC1">
      <w:pPr>
        <w:spacing w:after="120" w:line="240" w:lineRule="auto"/>
      </w:pPr>
      <w:r w:rsidRPr="00E655A2">
        <w:rPr>
          <w:b/>
        </w:rPr>
        <w:t>Пример</w:t>
      </w:r>
      <w:r w:rsidR="005E2D58" w:rsidRPr="00E655A2">
        <w:rPr>
          <w:b/>
        </w:rPr>
        <w:t xml:space="preserve"> 1.</w:t>
      </w:r>
      <w:r w:rsidR="00E655A2">
        <w:t xml:space="preserve"> Склад</w:t>
      </w:r>
      <w:r w:rsidR="009F5912">
        <w:t xml:space="preserve"> </w:t>
      </w:r>
      <w:proofErr w:type="spellStart"/>
      <w:r w:rsidR="009F5912">
        <w:t>логистического</w:t>
      </w:r>
      <w:proofErr w:type="spellEnd"/>
      <w:r w:rsidR="009F5912">
        <w:t xml:space="preserve"> оператора оплачивает охрану объекта, на котором хранятся товары трех клиентов. Ежемесячные расходы на охрану составляют 600 000 руб.</w:t>
      </w:r>
    </w:p>
    <w:tbl>
      <w:tblPr>
        <w:tblStyle w:val="ab"/>
        <w:tblW w:w="0" w:type="auto"/>
        <w:tblLook w:val="04A0"/>
      </w:tblPr>
      <w:tblGrid>
        <w:gridCol w:w="879"/>
        <w:gridCol w:w="1781"/>
        <w:gridCol w:w="3685"/>
        <w:gridCol w:w="3508"/>
      </w:tblGrid>
      <w:tr w:rsidR="009F5912" w:rsidTr="00EF5213">
        <w:tc>
          <w:tcPr>
            <w:tcW w:w="879" w:type="dxa"/>
          </w:tcPr>
          <w:p w:rsidR="009F5912" w:rsidRDefault="009F5912" w:rsidP="009862C7">
            <w:pPr>
              <w:spacing w:before="20" w:after="20"/>
            </w:pPr>
            <w:r>
              <w:t>Клиент</w:t>
            </w:r>
          </w:p>
        </w:tc>
        <w:tc>
          <w:tcPr>
            <w:tcW w:w="1781" w:type="dxa"/>
          </w:tcPr>
          <w:p w:rsidR="009F5912" w:rsidRDefault="009F5912" w:rsidP="009862C7">
            <w:pPr>
              <w:spacing w:before="20" w:after="20"/>
            </w:pPr>
            <w:r>
              <w:t>Площадь, кв. м</w:t>
            </w:r>
          </w:p>
        </w:tc>
        <w:tc>
          <w:tcPr>
            <w:tcW w:w="3685" w:type="dxa"/>
          </w:tcPr>
          <w:p w:rsidR="009F5912" w:rsidRDefault="009F5912" w:rsidP="009862C7">
            <w:pPr>
              <w:spacing w:before="20" w:after="20"/>
            </w:pPr>
            <w:r>
              <w:t>Обслуживающий персонал, человек</w:t>
            </w:r>
          </w:p>
        </w:tc>
        <w:tc>
          <w:tcPr>
            <w:tcW w:w="3508" w:type="dxa"/>
          </w:tcPr>
          <w:p w:rsidR="009F5912" w:rsidRDefault="009F5912" w:rsidP="009862C7">
            <w:pPr>
              <w:spacing w:before="20" w:after="20"/>
            </w:pPr>
            <w:r>
              <w:t>Страховая стоимость товаров, руб.</w:t>
            </w:r>
          </w:p>
        </w:tc>
      </w:tr>
      <w:tr w:rsidR="009F5912" w:rsidTr="00EF5213">
        <w:tc>
          <w:tcPr>
            <w:tcW w:w="879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А</w:t>
            </w:r>
          </w:p>
        </w:tc>
        <w:tc>
          <w:tcPr>
            <w:tcW w:w="1781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1200</w:t>
            </w:r>
          </w:p>
        </w:tc>
        <w:tc>
          <w:tcPr>
            <w:tcW w:w="3685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45</w:t>
            </w:r>
          </w:p>
        </w:tc>
        <w:tc>
          <w:tcPr>
            <w:tcW w:w="3508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20 млн.</w:t>
            </w:r>
          </w:p>
        </w:tc>
      </w:tr>
      <w:tr w:rsidR="009F5912" w:rsidTr="00EF5213">
        <w:tc>
          <w:tcPr>
            <w:tcW w:w="879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Б</w:t>
            </w:r>
          </w:p>
        </w:tc>
        <w:tc>
          <w:tcPr>
            <w:tcW w:w="1781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2000</w:t>
            </w:r>
          </w:p>
        </w:tc>
        <w:tc>
          <w:tcPr>
            <w:tcW w:w="3685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40</w:t>
            </w:r>
          </w:p>
        </w:tc>
        <w:tc>
          <w:tcPr>
            <w:tcW w:w="3508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10 млн.</w:t>
            </w:r>
          </w:p>
        </w:tc>
      </w:tr>
      <w:tr w:rsidR="009F5912" w:rsidTr="00EF5213">
        <w:tc>
          <w:tcPr>
            <w:tcW w:w="879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В</w:t>
            </w:r>
          </w:p>
        </w:tc>
        <w:tc>
          <w:tcPr>
            <w:tcW w:w="1781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2400</w:t>
            </w:r>
          </w:p>
        </w:tc>
        <w:tc>
          <w:tcPr>
            <w:tcW w:w="3685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60</w:t>
            </w:r>
          </w:p>
        </w:tc>
        <w:tc>
          <w:tcPr>
            <w:tcW w:w="3508" w:type="dxa"/>
          </w:tcPr>
          <w:p w:rsidR="009F5912" w:rsidRDefault="009F5912" w:rsidP="009862C7">
            <w:pPr>
              <w:spacing w:before="20" w:after="20"/>
              <w:jc w:val="center"/>
            </w:pPr>
            <w:r>
              <w:t>15 млн.</w:t>
            </w:r>
          </w:p>
        </w:tc>
      </w:tr>
    </w:tbl>
    <w:p w:rsidR="00747EC1" w:rsidRDefault="00747EC1" w:rsidP="009862C7">
      <w:pPr>
        <w:spacing w:before="120" w:after="120" w:line="240" w:lineRule="auto"/>
      </w:pPr>
      <w:r>
        <w:t xml:space="preserve">Если расходы на </w:t>
      </w:r>
      <w:r w:rsidR="009F5912">
        <w:t>охрану</w:t>
      </w:r>
      <w:r>
        <w:t xml:space="preserve"> относятся к защите от вторжения на </w:t>
      </w:r>
      <w:r w:rsidR="009F5912">
        <w:t xml:space="preserve">склад третьих </w:t>
      </w:r>
      <w:r>
        <w:t xml:space="preserve">лиц, то </w:t>
      </w:r>
      <w:r w:rsidR="009F5912" w:rsidRPr="001D1717">
        <w:rPr>
          <w:i/>
        </w:rPr>
        <w:t>релевантным</w:t>
      </w:r>
      <w:r>
        <w:t xml:space="preserve"> будет распределение затрат с использованием площади </w:t>
      </w:r>
      <w:r w:rsidR="009F5912">
        <w:t xml:space="preserve">хранения. </w:t>
      </w:r>
      <w:r w:rsidR="001D1717">
        <w:t>Е</w:t>
      </w:r>
      <w:r>
        <w:t>сли расходы на безопасность относя</w:t>
      </w:r>
      <w:r w:rsidR="001D1717">
        <w:t>т</w:t>
      </w:r>
      <w:r>
        <w:t xml:space="preserve">ся к </w:t>
      </w:r>
      <w:r w:rsidR="001D1717">
        <w:t>предот</w:t>
      </w:r>
      <w:r>
        <w:t xml:space="preserve">вращению воровства </w:t>
      </w:r>
      <w:r w:rsidR="001D1717">
        <w:t xml:space="preserve">со стороны </w:t>
      </w:r>
      <w:r>
        <w:t>сотрудников, то</w:t>
      </w:r>
      <w:r w:rsidR="001D1717">
        <w:t>,</w:t>
      </w:r>
      <w:r>
        <w:t xml:space="preserve"> </w:t>
      </w:r>
      <w:r w:rsidR="001D1717">
        <w:t>возможно, лучшая</w:t>
      </w:r>
      <w:r>
        <w:t xml:space="preserve"> база для распределения </w:t>
      </w:r>
      <w:r w:rsidR="001D1717">
        <w:t>– число сотрудников. Не исключено также, что наиболее релевантн</w:t>
      </w:r>
      <w:r w:rsidR="009862C7">
        <w:t xml:space="preserve">ым будет </w:t>
      </w:r>
      <w:r w:rsidR="009862C7">
        <w:lastRenderedPageBreak/>
        <w:t xml:space="preserve">признано распределение на основе страховых сумм… </w:t>
      </w:r>
      <w:r w:rsidR="009862C7">
        <w:sym w:font="Wingdings" w:char="F04A"/>
      </w:r>
      <w:r w:rsidR="009862C7">
        <w:t xml:space="preserve"> (рис. 1). На этом примере мы убеждаемся, что распределение косвенных расходов</w:t>
      </w:r>
      <w:r w:rsidR="00EC0FD6">
        <w:t xml:space="preserve"> </w:t>
      </w:r>
      <w:r w:rsidR="00263D1C">
        <w:t xml:space="preserve">– </w:t>
      </w:r>
      <w:r w:rsidR="00EC0FD6">
        <w:t>эт</w:t>
      </w:r>
      <w:r w:rsidR="00263D1C">
        <w:t>о</w:t>
      </w:r>
      <w:r w:rsidR="00EC0FD6">
        <w:t xml:space="preserve"> та область, где не существует единственно верного ответа, а вполне </w:t>
      </w:r>
      <w:r w:rsidR="00263D1C">
        <w:t>могут сосуществовать различные мнения.</w:t>
      </w:r>
    </w:p>
    <w:p w:rsidR="001D1717" w:rsidRDefault="009862C7" w:rsidP="00747EC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66056" cy="688462"/>
            <wp:effectExtent l="19050" t="0" r="994" b="0"/>
            <wp:docPr id="5" name="Рисунок 4" descr="01. Распределение накладных расходов на охрану скла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Распределение накладных расходов на охрану склад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995" cy="6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17" w:rsidRDefault="001D1717" w:rsidP="00747EC1">
      <w:pPr>
        <w:spacing w:after="120" w:line="240" w:lineRule="auto"/>
      </w:pPr>
      <w:r>
        <w:t xml:space="preserve">Рис. </w:t>
      </w:r>
      <w:r w:rsidRPr="001D1717">
        <w:t>1. Распределение накладных расходов на охрану склада</w:t>
      </w:r>
    </w:p>
    <w:p w:rsidR="00615DEA" w:rsidRPr="00615DEA" w:rsidRDefault="00615DEA" w:rsidP="00615DEA">
      <w:pPr>
        <w:spacing w:after="120" w:line="240" w:lineRule="auto"/>
        <w:rPr>
          <w:rFonts w:cstheme="minorHAnsi"/>
        </w:rPr>
      </w:pPr>
      <w:r w:rsidRPr="00615DEA">
        <w:rPr>
          <w:rFonts w:cstheme="minorHAnsi"/>
        </w:rPr>
        <w:t>Ставки распределения накладных расходов обычно рассчитываются на основании бюджетных [</w:t>
      </w:r>
      <w:r>
        <w:rPr>
          <w:rFonts w:cstheme="minorHAnsi"/>
        </w:rPr>
        <w:t>плановых</w:t>
      </w:r>
      <w:r w:rsidRPr="00615DEA">
        <w:rPr>
          <w:rFonts w:cstheme="minorHAnsi"/>
        </w:rPr>
        <w:t>] затрат и бюджетных уровней деятельности, в результате чего определяются так называемые «заранее заданные» ставки распределения накладных расходов. Таким образом, если бюджетом предполагается, что накладные расходы к</w:t>
      </w:r>
      <w:r>
        <w:rPr>
          <w:rFonts w:cstheme="minorHAnsi"/>
        </w:rPr>
        <w:t>а</w:t>
      </w:r>
      <w:r w:rsidRPr="00615DEA">
        <w:rPr>
          <w:rFonts w:cstheme="minorHAnsi"/>
        </w:rPr>
        <w:t>кого-либо конкретного центра затрат составят 1</w:t>
      </w:r>
      <w:r>
        <w:rPr>
          <w:rFonts w:cstheme="minorHAnsi"/>
        </w:rPr>
        <w:t xml:space="preserve"> млн. руб.</w:t>
      </w:r>
      <w:r w:rsidRPr="00615DEA">
        <w:rPr>
          <w:rFonts w:cstheme="minorHAnsi"/>
        </w:rPr>
        <w:t>, а часы «прямого труда» –</w:t>
      </w:r>
      <w:r>
        <w:rPr>
          <w:rFonts w:cstheme="minorHAnsi"/>
        </w:rPr>
        <w:t xml:space="preserve"> 1</w:t>
      </w:r>
      <w:r w:rsidRPr="00615DEA">
        <w:rPr>
          <w:rFonts w:cstheme="minorHAnsi"/>
        </w:rPr>
        <w:t>000 часов, то этот центр затрат должен принять для использования ставку распределения накладных р</w:t>
      </w:r>
      <w:r>
        <w:rPr>
          <w:rFonts w:cstheme="minorHAnsi"/>
        </w:rPr>
        <w:t xml:space="preserve">асходов в размере </w:t>
      </w:r>
      <w:r w:rsidRPr="00615DEA">
        <w:rPr>
          <w:rFonts w:cstheme="minorHAnsi"/>
        </w:rPr>
        <w:t>10</w:t>
      </w:r>
      <w:r>
        <w:rPr>
          <w:rFonts w:cstheme="minorHAnsi"/>
        </w:rPr>
        <w:t>00 руб.</w:t>
      </w:r>
      <w:r w:rsidRPr="00615DEA">
        <w:rPr>
          <w:rFonts w:cstheme="minorHAnsi"/>
        </w:rPr>
        <w:t xml:space="preserve"> в час. Этот центр затрат будет относить накладные расходы на продукцию, которую он производит в течение </w:t>
      </w:r>
      <w:r>
        <w:rPr>
          <w:rFonts w:cstheme="minorHAnsi"/>
        </w:rPr>
        <w:t xml:space="preserve">учетного периода, в размере </w:t>
      </w:r>
      <w:r w:rsidRPr="00615DEA">
        <w:rPr>
          <w:rFonts w:cstheme="minorHAnsi"/>
        </w:rPr>
        <w:t>10</w:t>
      </w:r>
      <w:r>
        <w:rPr>
          <w:rFonts w:cstheme="minorHAnsi"/>
        </w:rPr>
        <w:t>00 руб.</w:t>
      </w:r>
      <w:r w:rsidRPr="00615DEA">
        <w:rPr>
          <w:rFonts w:cstheme="minorHAnsi"/>
        </w:rPr>
        <w:t xml:space="preserve"> в час независимо от того, какими были фактически понесенные накладные расходы и сколько часов он работа</w:t>
      </w:r>
      <w:r w:rsidR="002F1348">
        <w:rPr>
          <w:rFonts w:cstheme="minorHAnsi"/>
        </w:rPr>
        <w:t>л</w:t>
      </w:r>
      <w:r w:rsidRPr="00615DEA">
        <w:rPr>
          <w:rFonts w:cstheme="minorHAnsi"/>
        </w:rPr>
        <w:t>.</w:t>
      </w:r>
    </w:p>
    <w:p w:rsidR="00615DEA" w:rsidRDefault="00615DEA" w:rsidP="00615DEA">
      <w:pPr>
        <w:spacing w:after="120" w:line="240" w:lineRule="auto"/>
      </w:pPr>
      <w:r>
        <w:t xml:space="preserve">Использование заранее заданных ставок распределения накладных расходов означает, </w:t>
      </w:r>
      <w:r w:rsidR="00DD2778">
        <w:t>ч</w:t>
      </w:r>
      <w:r>
        <w:t>то может произойти недостаточное или избыточное отнесение накладных</w:t>
      </w:r>
      <w:r w:rsidR="00DD2778">
        <w:t xml:space="preserve"> расходов.</w:t>
      </w:r>
      <w:r>
        <w:t xml:space="preserve"> </w:t>
      </w:r>
      <w:proofErr w:type="gramStart"/>
      <w:r>
        <w:t xml:space="preserve">Если </w:t>
      </w:r>
      <w:r w:rsidR="00DD2778">
        <w:t>н</w:t>
      </w:r>
      <w:r>
        <w:t>акладные расходы центра затрат, о котором говорилось выше, фактически составят 1</w:t>
      </w:r>
      <w:r w:rsidR="00DD2778">
        <w:t> 0</w:t>
      </w:r>
      <w:r>
        <w:t>50</w:t>
      </w:r>
      <w:r w:rsidR="00DD2778">
        <w:t> 00</w:t>
      </w:r>
      <w:r>
        <w:t>0</w:t>
      </w:r>
      <w:r w:rsidR="00DD2778">
        <w:t xml:space="preserve"> руб.</w:t>
      </w:r>
      <w:r>
        <w:t xml:space="preserve">, а время работы </w:t>
      </w:r>
      <w:r w:rsidR="00DD2778">
        <w:t>–</w:t>
      </w:r>
      <w:r>
        <w:t xml:space="preserve"> 9</w:t>
      </w:r>
      <w:r w:rsidR="00DD2778">
        <w:t>7</w:t>
      </w:r>
      <w:r>
        <w:t xml:space="preserve">0 часов, то произойдет избыточное отнесение накладных </w:t>
      </w:r>
      <w:r w:rsidR="00DD2778">
        <w:t>р</w:t>
      </w:r>
      <w:r>
        <w:t xml:space="preserve">асходов в размере </w:t>
      </w:r>
      <w:r w:rsidR="00DD2778">
        <w:t>1 050 000 – (970 * 1000) = 80 000 руб.</w:t>
      </w:r>
      <w:r>
        <w:t xml:space="preserve"> Эти </w:t>
      </w:r>
      <w:r w:rsidR="00DD2778">
        <w:t>80 тыс. руб.</w:t>
      </w:r>
      <w:r w:rsidR="002F1348">
        <w:t>, как правило, не относятся на произведенную продукцию, а списываются за счет прибыли за соответствующий период времени.</w:t>
      </w:r>
      <w:proofErr w:type="gramEnd"/>
    </w:p>
    <w:p w:rsidR="00747EC1" w:rsidRDefault="00615DEA" w:rsidP="00615DEA">
      <w:pPr>
        <w:spacing w:after="120" w:line="240" w:lineRule="auto"/>
      </w:pPr>
      <w:r>
        <w:t xml:space="preserve">Менеджеры часто предпочитают использовать заранее заданные ставки распределения </w:t>
      </w:r>
      <w:r w:rsidR="002F1348">
        <w:t>накладны</w:t>
      </w:r>
      <w:r>
        <w:t xml:space="preserve">х расходов, </w:t>
      </w:r>
      <w:r w:rsidR="002F1348">
        <w:t xml:space="preserve">чтобы избежать колебания себестоимости от месяца к месяцу, связанные с изменениями в объеме затрат или уровне деятельности. </w:t>
      </w:r>
      <w:r>
        <w:t xml:space="preserve">Заранее заданные ставки также позволяют </w:t>
      </w:r>
      <w:r w:rsidR="002F1348">
        <w:t>п</w:t>
      </w:r>
      <w:r>
        <w:t>рогнозировать себестоимость продукции до начала производства.</w:t>
      </w:r>
    </w:p>
    <w:p w:rsidR="002F1348" w:rsidRPr="002F1348" w:rsidRDefault="002F1348" w:rsidP="002F1348">
      <w:pPr>
        <w:spacing w:after="120" w:line="240" w:lineRule="auto"/>
        <w:rPr>
          <w:rFonts w:cstheme="minorHAnsi"/>
        </w:rPr>
      </w:pPr>
      <w:r w:rsidRPr="002F1348">
        <w:rPr>
          <w:b/>
        </w:rPr>
        <w:t xml:space="preserve">Непроизводственные накладные расходы. </w:t>
      </w:r>
      <w:r w:rsidR="00D54C2C" w:rsidRPr="00D54C2C">
        <w:t xml:space="preserve">К ним относятся </w:t>
      </w:r>
      <w:r w:rsidR="00D54C2C">
        <w:rPr>
          <w:rFonts w:cstheme="minorHAnsi"/>
        </w:rPr>
        <w:t>административные,</w:t>
      </w:r>
      <w:r w:rsidRPr="002F1348">
        <w:rPr>
          <w:rFonts w:cstheme="minorHAnsi"/>
        </w:rPr>
        <w:t xml:space="preserve"> коммерческие </w:t>
      </w:r>
      <w:r w:rsidR="00D54C2C">
        <w:rPr>
          <w:rFonts w:cstheme="minorHAnsi"/>
        </w:rPr>
        <w:t xml:space="preserve">и иные </w:t>
      </w:r>
      <w:r>
        <w:rPr>
          <w:rFonts w:cstheme="minorHAnsi"/>
        </w:rPr>
        <w:t>р</w:t>
      </w:r>
      <w:r w:rsidRPr="002F1348">
        <w:rPr>
          <w:rFonts w:cstheme="minorHAnsi"/>
        </w:rPr>
        <w:t xml:space="preserve">асходы. Многие организации применяют заранее установленный процент для того, чтобы распределить такие затраты на основе </w:t>
      </w:r>
      <w:r w:rsidR="00D54C2C">
        <w:rPr>
          <w:rFonts w:cstheme="minorHAnsi"/>
        </w:rPr>
        <w:t>о</w:t>
      </w:r>
      <w:r w:rsidRPr="002F1348">
        <w:rPr>
          <w:rFonts w:cstheme="minorHAnsi"/>
        </w:rPr>
        <w:t>ценочных или бюджетных уровней деятельности на ближайший период</w:t>
      </w:r>
      <w:r w:rsidR="00D54C2C">
        <w:rPr>
          <w:rFonts w:cstheme="minorHAnsi"/>
        </w:rPr>
        <w:t>.</w:t>
      </w:r>
      <w:r w:rsidRPr="002F1348">
        <w:rPr>
          <w:rFonts w:cstheme="minorHAnsi"/>
        </w:rPr>
        <w:t xml:space="preserve"> Приводимы</w:t>
      </w:r>
      <w:r w:rsidR="00D54C2C">
        <w:rPr>
          <w:rFonts w:cstheme="minorHAnsi"/>
        </w:rPr>
        <w:t>й</w:t>
      </w:r>
      <w:r w:rsidRPr="002F1348">
        <w:rPr>
          <w:rFonts w:cstheme="minorHAnsi"/>
        </w:rPr>
        <w:t xml:space="preserve"> </w:t>
      </w:r>
      <w:r w:rsidR="00D54C2C">
        <w:rPr>
          <w:rFonts w:cstheme="minorHAnsi"/>
        </w:rPr>
        <w:t>н</w:t>
      </w:r>
      <w:r w:rsidRPr="002F1348">
        <w:rPr>
          <w:rFonts w:cstheme="minorHAnsi"/>
        </w:rPr>
        <w:t>иже пример показывает, как работает этот метод.</w:t>
      </w:r>
    </w:p>
    <w:p w:rsidR="00636634" w:rsidRDefault="00D54C2C" w:rsidP="00636634">
      <w:pPr>
        <w:spacing w:after="0" w:line="240" w:lineRule="auto"/>
      </w:pPr>
      <w:r w:rsidRPr="00D54C2C">
        <w:rPr>
          <w:b/>
        </w:rPr>
        <w:t>П</w:t>
      </w:r>
      <w:r w:rsidR="002F1348" w:rsidRPr="00D54C2C">
        <w:rPr>
          <w:b/>
        </w:rPr>
        <w:t>ри</w:t>
      </w:r>
      <w:r w:rsidRPr="00D54C2C">
        <w:rPr>
          <w:b/>
        </w:rPr>
        <w:t>м</w:t>
      </w:r>
      <w:r w:rsidR="002F1348" w:rsidRPr="00D54C2C">
        <w:rPr>
          <w:b/>
        </w:rPr>
        <w:t>ер</w:t>
      </w:r>
      <w:r w:rsidRPr="00D54C2C">
        <w:rPr>
          <w:b/>
        </w:rPr>
        <w:t xml:space="preserve"> 2.</w:t>
      </w:r>
      <w:r>
        <w:t xml:space="preserve"> К</w:t>
      </w:r>
      <w:r w:rsidR="002F1348">
        <w:t>омпания использует заранее установленный процент производ</w:t>
      </w:r>
      <w:r>
        <w:t>ственных затрат, чтобы отнести ко</w:t>
      </w:r>
      <w:r w:rsidR="002F1348">
        <w:t>ммерческие расходы на общую стоимость своих заказов</w:t>
      </w:r>
      <w:r>
        <w:t>.</w:t>
      </w:r>
      <w:r w:rsidR="002F1348">
        <w:t xml:space="preserve"> </w:t>
      </w:r>
      <w:r w:rsidR="00636634">
        <w:t>Исходные данные для оценки:</w:t>
      </w:r>
    </w:p>
    <w:p w:rsidR="002F1348" w:rsidRDefault="002F1348" w:rsidP="00636634">
      <w:pPr>
        <w:pStyle w:val="a5"/>
        <w:numPr>
          <w:ilvl w:val="0"/>
          <w:numId w:val="18"/>
        </w:numPr>
        <w:spacing w:after="120" w:line="240" w:lineRule="auto"/>
      </w:pPr>
      <w:r>
        <w:t xml:space="preserve">Прогнозируемые затраты </w:t>
      </w:r>
      <w:r w:rsidR="00D54C2C">
        <w:t xml:space="preserve">на </w:t>
      </w:r>
      <w:r w:rsidR="00636634">
        <w:t>рекламу и реализацию продукции – 220 000 руб.</w:t>
      </w:r>
    </w:p>
    <w:p w:rsidR="00615DEA" w:rsidRDefault="00D54C2C" w:rsidP="00B91C58">
      <w:pPr>
        <w:pStyle w:val="a5"/>
        <w:numPr>
          <w:ilvl w:val="0"/>
          <w:numId w:val="18"/>
        </w:numPr>
        <w:spacing w:after="0" w:line="240" w:lineRule="auto"/>
        <w:ind w:left="714" w:hanging="357"/>
      </w:pPr>
      <w:r>
        <w:t xml:space="preserve">Прогнозируемые </w:t>
      </w:r>
      <w:r w:rsidR="00636634">
        <w:t xml:space="preserve">суммарные </w:t>
      </w:r>
      <w:r w:rsidR="002F1348">
        <w:t xml:space="preserve">производственные </w:t>
      </w:r>
      <w:r>
        <w:t xml:space="preserve">затраты </w:t>
      </w:r>
      <w:r w:rsidR="00636634">
        <w:t>– 1 350 000 руб.</w:t>
      </w:r>
    </w:p>
    <w:p w:rsidR="00636634" w:rsidRDefault="00636634" w:rsidP="00636634">
      <w:pPr>
        <w:spacing w:after="120" w:line="240" w:lineRule="auto"/>
      </w:pPr>
      <w:r>
        <w:t>Заранее установленная ставка распределения непроизводственных накладных расходов = 220 000 / 1 350 000 = 16</w:t>
      </w:r>
      <w:r w:rsidR="00B91C58">
        <w:t>,3</w:t>
      </w:r>
      <w:r>
        <w:t>% производственных затрат.</w:t>
      </w:r>
    </w:p>
    <w:p w:rsidR="00636634" w:rsidRDefault="00B91C58" w:rsidP="00636634">
      <w:pPr>
        <w:spacing w:after="120" w:line="240" w:lineRule="auto"/>
      </w:pPr>
      <w:r>
        <w:t>Использование заранее установленного процента может приводить к избыточному или недостаточному включению накладных расходов в себестоимость продукции. Так, если фактические производственные затраты в примере 2 составили 1 400 000 руб., а фактические коммерческие расходы – 200 000 руб., на себестоимость будет отнесено = 1 400 000 * 16,3% = 228 150 руб.</w:t>
      </w:r>
      <w:r w:rsidR="00AE19D0">
        <w:t xml:space="preserve"> Как правило, «лишние» накладные расходы (в нашем примере, 28 150 руб.) «увелич</w:t>
      </w:r>
      <w:r w:rsidR="00510672">
        <w:t>ив</w:t>
      </w:r>
      <w:r w:rsidR="00AE19D0">
        <w:t>а</w:t>
      </w:r>
      <w:r w:rsidR="00510672">
        <w:t>ю</w:t>
      </w:r>
      <w:r w:rsidR="00AE19D0">
        <w:t>т</w:t>
      </w:r>
      <w:r w:rsidR="00510672">
        <w:t>»</w:t>
      </w:r>
      <w:r w:rsidR="00AE19D0">
        <w:t xml:space="preserve"> прибыль </w:t>
      </w:r>
      <w:r w:rsidR="00510672">
        <w:t>за отчетный период.</w:t>
      </w:r>
    </w:p>
    <w:p w:rsidR="009D529F" w:rsidRDefault="0010489E" w:rsidP="002F1348">
      <w:pPr>
        <w:spacing w:after="120" w:line="240" w:lineRule="auto"/>
      </w:pPr>
      <w:r>
        <w:t>Отнесение накладных расходов на конкретные продукты не всегда считается целесообразным. Часть административных и управленческих затрат относятся ко всему предприятию, и бессмысленно пытаться распределить их между центрами затрат и единицами продукции. В таких случаях соответствующие накладные расходы просто списываются на счет прибылей и убытков, и их не пытаются отнести на отдельные виды продукции.</w:t>
      </w:r>
    </w:p>
    <w:p w:rsidR="00636634" w:rsidRDefault="009D529F" w:rsidP="002F1348">
      <w:pPr>
        <w:spacing w:after="120" w:line="240" w:lineRule="auto"/>
      </w:pPr>
      <w:r>
        <w:t xml:space="preserve">Рассмотрим </w:t>
      </w:r>
      <w:r w:rsidRPr="003E1C07">
        <w:rPr>
          <w:b/>
        </w:rPr>
        <w:t>сквозной пример</w:t>
      </w:r>
      <w:r>
        <w:t xml:space="preserve">, который позволит вам </w:t>
      </w:r>
      <w:r w:rsidR="003E1C07">
        <w:t>потренироваться в составлении калькуляции себестоимости отдельного заказа. Компания</w:t>
      </w:r>
      <w:r w:rsidR="0010489E">
        <w:t xml:space="preserve"> </w:t>
      </w:r>
      <w:r w:rsidR="003E1C07">
        <w:t xml:space="preserve">«Альянс-ДМ» производит </w:t>
      </w:r>
      <w:r w:rsidR="00344807">
        <w:t xml:space="preserve">на заказ </w:t>
      </w:r>
      <w:proofErr w:type="spellStart"/>
      <w:r w:rsidR="00344807">
        <w:t>евроокна</w:t>
      </w:r>
      <w:proofErr w:type="spellEnd"/>
      <w:r w:rsidR="00344807">
        <w:t>. В компании выделено три центра затрат. Фрагмент бюджета компании на месяц представлен на рис. 2</w:t>
      </w:r>
    </w:p>
    <w:p w:rsidR="00344807" w:rsidRDefault="00506611" w:rsidP="002F134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65486" cy="1014520"/>
            <wp:effectExtent l="19050" t="0" r="0" b="0"/>
            <wp:docPr id="7" name="Рисунок 6" descr="02.Месячный бюджет Альянс-ДМ по центрам затр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Месячный бюджет Альянс-ДМ по центрам затрат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907" cy="101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07" w:rsidRDefault="00344807" w:rsidP="002F1348">
      <w:pPr>
        <w:spacing w:after="120" w:line="240" w:lineRule="auto"/>
      </w:pPr>
      <w:r>
        <w:t>Рис. 2. Месячный бюдже</w:t>
      </w:r>
      <w:r w:rsidR="00506611">
        <w:t>т «Альянс-ДМ» по центрам затрат</w:t>
      </w:r>
    </w:p>
    <w:p w:rsidR="00344807" w:rsidRDefault="00344807" w:rsidP="002F1348">
      <w:pPr>
        <w:spacing w:after="120" w:line="240" w:lineRule="auto"/>
      </w:pPr>
      <w:r>
        <w:t>В течение этого месяца был выполнен заказ, информация по которому отражена на рис. 3.</w:t>
      </w:r>
    </w:p>
    <w:p w:rsidR="00344807" w:rsidRDefault="007B77B4" w:rsidP="002F134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42850" cy="2304170"/>
            <wp:effectExtent l="19050" t="0" r="5300" b="0"/>
            <wp:docPr id="10" name="Рисунок 9" descr="03. Информация по заказ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Информация по заказу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159" cy="23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07" w:rsidRDefault="00344807" w:rsidP="002F1348">
      <w:pPr>
        <w:spacing w:after="120" w:line="240" w:lineRule="auto"/>
      </w:pPr>
      <w:r>
        <w:t>Рис. 3. Информация по заказу</w:t>
      </w:r>
    </w:p>
    <w:p w:rsidR="00142DEA" w:rsidRDefault="00142DEA" w:rsidP="00142DEA">
      <w:pPr>
        <w:spacing w:after="0" w:line="240" w:lineRule="auto"/>
      </w:pPr>
      <w:r>
        <w:t>Учетной политикой «Альянс-ДМ» предусмотрены следующие заранее установленные ставки для распределения непроизводственных накладных расходов:</w:t>
      </w:r>
    </w:p>
    <w:p w:rsidR="00142DEA" w:rsidRDefault="00142DEA" w:rsidP="00142DEA">
      <w:pPr>
        <w:pStyle w:val="a5"/>
        <w:numPr>
          <w:ilvl w:val="0"/>
          <w:numId w:val="19"/>
        </w:numPr>
        <w:spacing w:after="120" w:line="240" w:lineRule="auto"/>
      </w:pPr>
      <w:r>
        <w:t>Коммерческие расходы – 9% цены реализации</w:t>
      </w:r>
    </w:p>
    <w:p w:rsidR="00142DEA" w:rsidRDefault="00142DEA" w:rsidP="00142DEA">
      <w:pPr>
        <w:pStyle w:val="a5"/>
        <w:numPr>
          <w:ilvl w:val="0"/>
          <w:numId w:val="19"/>
        </w:numPr>
        <w:spacing w:after="120" w:line="240" w:lineRule="auto"/>
      </w:pPr>
      <w:r>
        <w:t>Административные и иные накладные расходы – 13% производственных расходов.</w:t>
      </w:r>
    </w:p>
    <w:p w:rsidR="00142DEA" w:rsidRDefault="00142DEA" w:rsidP="00142DEA">
      <w:pPr>
        <w:spacing w:after="120" w:line="240" w:lineRule="auto"/>
      </w:pPr>
      <w:r>
        <w:t>Задача: проанализируйте затраты, прибыль (убытки) по заказу.</w:t>
      </w:r>
    </w:p>
    <w:p w:rsidR="00142DEA" w:rsidRDefault="00142DEA" w:rsidP="00142DEA">
      <w:pPr>
        <w:spacing w:after="120" w:line="240" w:lineRule="auto"/>
      </w:pPr>
      <w:r>
        <w:t>Решени</w:t>
      </w:r>
      <w:r w:rsidR="002F267B">
        <w:t>е. На первом этапе рассчитаем</w:t>
      </w:r>
      <w:r>
        <w:t xml:space="preserve"> ставки производственных накладных расходов по </w:t>
      </w:r>
      <w:r w:rsidR="0091125D">
        <w:t xml:space="preserve">каждому центру затрат. </w:t>
      </w:r>
      <w:r w:rsidR="00AA354A">
        <w:t>Для этого использу</w:t>
      </w:r>
      <w:r w:rsidR="00506611">
        <w:t>ем</w:t>
      </w:r>
      <w:r w:rsidR="00AA354A">
        <w:t xml:space="preserve"> данные из месячного бюджет</w:t>
      </w:r>
      <w:r w:rsidR="00506611">
        <w:t xml:space="preserve">а «Альянс-ДМ» по центрам затрат, приведенные на </w:t>
      </w:r>
      <w:r w:rsidR="00AA354A">
        <w:t>рис. 2</w:t>
      </w:r>
      <w:r w:rsidR="00506611">
        <w:t>:</w:t>
      </w:r>
    </w:p>
    <w:p w:rsidR="00AA354A" w:rsidRDefault="007B77B4" w:rsidP="00142DE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27879" cy="898549"/>
            <wp:effectExtent l="19050" t="0" r="0" b="0"/>
            <wp:docPr id="11" name="Рисунок 10" descr="04. Ставки производственных накладных расходов по центрам затр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тавки производственных накладных расходов по центрам затрат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830" cy="8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7B" w:rsidRDefault="002F267B" w:rsidP="00142DEA">
      <w:pPr>
        <w:spacing w:after="120" w:line="240" w:lineRule="auto"/>
      </w:pPr>
      <w:r>
        <w:t>Рис. 4. Ставки производственных накладных расходов по центрам затрат</w:t>
      </w:r>
    </w:p>
    <w:p w:rsidR="0091125D" w:rsidRDefault="0091125D" w:rsidP="00142DEA">
      <w:pPr>
        <w:spacing w:after="120" w:line="240" w:lineRule="auto"/>
      </w:pPr>
      <w:r>
        <w:t>Далее сведем все расходы в единую таблицу (рис. 5).</w:t>
      </w:r>
    </w:p>
    <w:p w:rsidR="0091125D" w:rsidRDefault="007B77B4" w:rsidP="00142DE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45721" cy="2753334"/>
            <wp:effectExtent l="19050" t="0" r="2429" b="0"/>
            <wp:docPr id="12" name="Рисунок 11" descr="05. Анализ расходов и прибыли по оптовому заказ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Анализ расходов и прибыли по оптовому заказу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083" cy="27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5D" w:rsidRDefault="0091125D" w:rsidP="00142DEA">
      <w:pPr>
        <w:spacing w:after="120" w:line="240" w:lineRule="auto"/>
      </w:pPr>
      <w:r>
        <w:t>Рис. 5. Анализ расходов и прибыли по оптовому заказу</w:t>
      </w:r>
    </w:p>
    <w:p w:rsidR="002F267B" w:rsidRDefault="002F267B" w:rsidP="00142DEA">
      <w:pPr>
        <w:spacing w:after="120" w:line="240" w:lineRule="auto"/>
      </w:pPr>
    </w:p>
    <w:p w:rsidR="00AA354A" w:rsidRDefault="00AA354A" w:rsidP="002F1348">
      <w:pPr>
        <w:spacing w:after="120" w:line="240" w:lineRule="auto"/>
      </w:pPr>
    </w:p>
    <w:p w:rsidR="00142DEA" w:rsidRDefault="00142DEA" w:rsidP="002F1348">
      <w:pPr>
        <w:spacing w:after="120" w:line="240" w:lineRule="auto"/>
      </w:pPr>
    </w:p>
    <w:p w:rsidR="003E1C07" w:rsidRDefault="003E1C07" w:rsidP="002F1348">
      <w:pPr>
        <w:spacing w:after="120" w:line="240" w:lineRule="auto"/>
      </w:pPr>
    </w:p>
    <w:p w:rsidR="002F1348" w:rsidRPr="001471BD" w:rsidRDefault="002F1348" w:rsidP="00D54C2C">
      <w:pPr>
        <w:spacing w:after="120" w:line="240" w:lineRule="auto"/>
      </w:pPr>
    </w:p>
    <w:sectPr w:rsidR="002F1348" w:rsidRPr="001471BD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FD" w:rsidRDefault="00EC57FD" w:rsidP="00EC57FD">
      <w:pPr>
        <w:spacing w:after="0" w:line="240" w:lineRule="auto"/>
      </w:pPr>
      <w:r>
        <w:separator/>
      </w:r>
    </w:p>
  </w:endnote>
  <w:endnote w:type="continuationSeparator" w:id="0">
    <w:p w:rsidR="00EC57FD" w:rsidRDefault="00EC57FD" w:rsidP="00E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FD" w:rsidRDefault="00EC57FD" w:rsidP="00EC57FD">
      <w:pPr>
        <w:spacing w:after="0" w:line="240" w:lineRule="auto"/>
      </w:pPr>
      <w:r>
        <w:separator/>
      </w:r>
    </w:p>
  </w:footnote>
  <w:footnote w:type="continuationSeparator" w:id="0">
    <w:p w:rsidR="00EC57FD" w:rsidRDefault="00EC57FD" w:rsidP="00EC57FD">
      <w:pPr>
        <w:spacing w:after="0" w:line="240" w:lineRule="auto"/>
      </w:pPr>
      <w:r>
        <w:continuationSeparator/>
      </w:r>
    </w:p>
  </w:footnote>
  <w:footnote w:id="1">
    <w:p w:rsidR="006E31A5" w:rsidRDefault="006E31A5">
      <w:pPr>
        <w:pStyle w:val="a6"/>
      </w:pPr>
      <w:r>
        <w:rPr>
          <w:rStyle w:val="a8"/>
        </w:rPr>
        <w:footnoteRef/>
      </w:r>
      <w:r>
        <w:t xml:space="preserve"> В разделе «</w:t>
      </w:r>
      <w:r w:rsidRPr="006E31A5">
        <w:t>Системный подход к учету затрат</w:t>
      </w:r>
      <w:r>
        <w:t>» мы увидим, что отнесение всей заработной платы к косвенным затратам также возможно.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972"/>
    <w:multiLevelType w:val="hybridMultilevel"/>
    <w:tmpl w:val="3E3E28BE"/>
    <w:lvl w:ilvl="0" w:tplc="84B6DA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B3F"/>
    <w:multiLevelType w:val="hybridMultilevel"/>
    <w:tmpl w:val="7EDC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FBA"/>
    <w:multiLevelType w:val="hybridMultilevel"/>
    <w:tmpl w:val="CAC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51E7"/>
    <w:multiLevelType w:val="multilevel"/>
    <w:tmpl w:val="946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F5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5119"/>
    <w:multiLevelType w:val="hybridMultilevel"/>
    <w:tmpl w:val="D7B03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932"/>
    <w:multiLevelType w:val="hybridMultilevel"/>
    <w:tmpl w:val="4E62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77B97"/>
    <w:multiLevelType w:val="hybridMultilevel"/>
    <w:tmpl w:val="5C1A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58E5"/>
    <w:multiLevelType w:val="hybridMultilevel"/>
    <w:tmpl w:val="2C1C96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2FCA19DF"/>
    <w:multiLevelType w:val="hybridMultilevel"/>
    <w:tmpl w:val="77740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E1DC4"/>
    <w:multiLevelType w:val="multilevel"/>
    <w:tmpl w:val="53E4D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A72738"/>
    <w:multiLevelType w:val="hybridMultilevel"/>
    <w:tmpl w:val="952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E2DD7"/>
    <w:multiLevelType w:val="multilevel"/>
    <w:tmpl w:val="747C4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7445FF5"/>
    <w:multiLevelType w:val="hybridMultilevel"/>
    <w:tmpl w:val="DDE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74B82"/>
    <w:multiLevelType w:val="hybridMultilevel"/>
    <w:tmpl w:val="81F632F0"/>
    <w:lvl w:ilvl="0" w:tplc="7B66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27D80"/>
    <w:multiLevelType w:val="multilevel"/>
    <w:tmpl w:val="C116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7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18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F0"/>
    <w:rsid w:val="0004543B"/>
    <w:rsid w:val="00087199"/>
    <w:rsid w:val="00091761"/>
    <w:rsid w:val="00094757"/>
    <w:rsid w:val="000F1928"/>
    <w:rsid w:val="0010489E"/>
    <w:rsid w:val="0012089D"/>
    <w:rsid w:val="001258E5"/>
    <w:rsid w:val="00142DEA"/>
    <w:rsid w:val="001471BD"/>
    <w:rsid w:val="001550F4"/>
    <w:rsid w:val="001670EC"/>
    <w:rsid w:val="00182B31"/>
    <w:rsid w:val="001C649F"/>
    <w:rsid w:val="001D1717"/>
    <w:rsid w:val="001F4F30"/>
    <w:rsid w:val="00240950"/>
    <w:rsid w:val="00261D9C"/>
    <w:rsid w:val="00263BAD"/>
    <w:rsid w:val="00263D1C"/>
    <w:rsid w:val="00275312"/>
    <w:rsid w:val="0027630B"/>
    <w:rsid w:val="002948C7"/>
    <w:rsid w:val="00295CB8"/>
    <w:rsid w:val="002D020D"/>
    <w:rsid w:val="002D32D4"/>
    <w:rsid w:val="002F1348"/>
    <w:rsid w:val="002F267B"/>
    <w:rsid w:val="00300D09"/>
    <w:rsid w:val="00341ED5"/>
    <w:rsid w:val="00343904"/>
    <w:rsid w:val="00344807"/>
    <w:rsid w:val="003A543B"/>
    <w:rsid w:val="003A6CB7"/>
    <w:rsid w:val="003A7EBF"/>
    <w:rsid w:val="003C7A78"/>
    <w:rsid w:val="003D1DD2"/>
    <w:rsid w:val="003E1C07"/>
    <w:rsid w:val="004A783C"/>
    <w:rsid w:val="004B1E83"/>
    <w:rsid w:val="004B7C3E"/>
    <w:rsid w:val="004D43B1"/>
    <w:rsid w:val="004D477E"/>
    <w:rsid w:val="004D6F35"/>
    <w:rsid w:val="00501DE1"/>
    <w:rsid w:val="00506611"/>
    <w:rsid w:val="00510672"/>
    <w:rsid w:val="0052229B"/>
    <w:rsid w:val="00526DE8"/>
    <w:rsid w:val="00543088"/>
    <w:rsid w:val="00554485"/>
    <w:rsid w:val="0056336C"/>
    <w:rsid w:val="00564DB5"/>
    <w:rsid w:val="005B0218"/>
    <w:rsid w:val="005B4044"/>
    <w:rsid w:val="005B5A0F"/>
    <w:rsid w:val="005C1565"/>
    <w:rsid w:val="005E2D58"/>
    <w:rsid w:val="005E32DA"/>
    <w:rsid w:val="006001E0"/>
    <w:rsid w:val="006122C3"/>
    <w:rsid w:val="00615DEA"/>
    <w:rsid w:val="00622F22"/>
    <w:rsid w:val="0062746B"/>
    <w:rsid w:val="00633B18"/>
    <w:rsid w:val="00636634"/>
    <w:rsid w:val="00660F36"/>
    <w:rsid w:val="00675901"/>
    <w:rsid w:val="00686484"/>
    <w:rsid w:val="006A7A9A"/>
    <w:rsid w:val="006C4D70"/>
    <w:rsid w:val="006D1951"/>
    <w:rsid w:val="006E1458"/>
    <w:rsid w:val="006E31A5"/>
    <w:rsid w:val="007043C2"/>
    <w:rsid w:val="00747EC1"/>
    <w:rsid w:val="007513F4"/>
    <w:rsid w:val="00752202"/>
    <w:rsid w:val="00763FF1"/>
    <w:rsid w:val="00764B89"/>
    <w:rsid w:val="00765CF2"/>
    <w:rsid w:val="00771C31"/>
    <w:rsid w:val="00780DF6"/>
    <w:rsid w:val="007862F2"/>
    <w:rsid w:val="00791A0D"/>
    <w:rsid w:val="007A5186"/>
    <w:rsid w:val="007B77B4"/>
    <w:rsid w:val="007C45DD"/>
    <w:rsid w:val="007D4B6A"/>
    <w:rsid w:val="007D5A99"/>
    <w:rsid w:val="00836D2C"/>
    <w:rsid w:val="00837D70"/>
    <w:rsid w:val="008B64CF"/>
    <w:rsid w:val="008B7412"/>
    <w:rsid w:val="008D2610"/>
    <w:rsid w:val="008D3B97"/>
    <w:rsid w:val="008D52AD"/>
    <w:rsid w:val="008E1940"/>
    <w:rsid w:val="008F179A"/>
    <w:rsid w:val="00900EDE"/>
    <w:rsid w:val="0090386B"/>
    <w:rsid w:val="0091125D"/>
    <w:rsid w:val="0091212D"/>
    <w:rsid w:val="00916912"/>
    <w:rsid w:val="00941EB1"/>
    <w:rsid w:val="009815ED"/>
    <w:rsid w:val="009838C7"/>
    <w:rsid w:val="009862C7"/>
    <w:rsid w:val="009A222B"/>
    <w:rsid w:val="009C23B2"/>
    <w:rsid w:val="009D529F"/>
    <w:rsid w:val="009D7AB9"/>
    <w:rsid w:val="009E244C"/>
    <w:rsid w:val="009E66C6"/>
    <w:rsid w:val="009F5912"/>
    <w:rsid w:val="00A02D11"/>
    <w:rsid w:val="00A35DD1"/>
    <w:rsid w:val="00AA354A"/>
    <w:rsid w:val="00AA7755"/>
    <w:rsid w:val="00AB15BF"/>
    <w:rsid w:val="00AC21A2"/>
    <w:rsid w:val="00AE19D0"/>
    <w:rsid w:val="00B054A6"/>
    <w:rsid w:val="00B22D51"/>
    <w:rsid w:val="00B634BC"/>
    <w:rsid w:val="00B702E1"/>
    <w:rsid w:val="00B80843"/>
    <w:rsid w:val="00B91C58"/>
    <w:rsid w:val="00B940CB"/>
    <w:rsid w:val="00BA2E07"/>
    <w:rsid w:val="00BA4A59"/>
    <w:rsid w:val="00BB1914"/>
    <w:rsid w:val="00BE7470"/>
    <w:rsid w:val="00C07747"/>
    <w:rsid w:val="00C41BE1"/>
    <w:rsid w:val="00C51851"/>
    <w:rsid w:val="00C602AD"/>
    <w:rsid w:val="00C61303"/>
    <w:rsid w:val="00C626E1"/>
    <w:rsid w:val="00CA15F0"/>
    <w:rsid w:val="00CB2670"/>
    <w:rsid w:val="00CC7FD9"/>
    <w:rsid w:val="00CD4098"/>
    <w:rsid w:val="00D1171D"/>
    <w:rsid w:val="00D54C2C"/>
    <w:rsid w:val="00DA1A73"/>
    <w:rsid w:val="00DC3F87"/>
    <w:rsid w:val="00DD2778"/>
    <w:rsid w:val="00DE06D3"/>
    <w:rsid w:val="00E436A4"/>
    <w:rsid w:val="00E57D09"/>
    <w:rsid w:val="00E655A2"/>
    <w:rsid w:val="00E752B1"/>
    <w:rsid w:val="00E96A23"/>
    <w:rsid w:val="00EB26DB"/>
    <w:rsid w:val="00EC0FD6"/>
    <w:rsid w:val="00EC57FD"/>
    <w:rsid w:val="00ED3501"/>
    <w:rsid w:val="00EF5213"/>
    <w:rsid w:val="00F0528F"/>
    <w:rsid w:val="00F12230"/>
    <w:rsid w:val="00FA42CA"/>
    <w:rsid w:val="00FC7191"/>
    <w:rsid w:val="00FD1DF9"/>
    <w:rsid w:val="00FD5DB0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C57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57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57F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6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1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303"/>
  </w:style>
  <w:style w:type="table" w:styleId="ab">
    <w:name w:val="Table Grid"/>
    <w:basedOn w:val="a1"/>
    <w:uiPriority w:val="59"/>
    <w:rsid w:val="009F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9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baguzin.ru/wp/?p=1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42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399F-4FBE-4C63-9BBA-0BC127F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7</cp:revision>
  <dcterms:created xsi:type="dcterms:W3CDTF">2011-08-31T08:44:00Z</dcterms:created>
  <dcterms:modified xsi:type="dcterms:W3CDTF">2011-09-01T10:37:00Z</dcterms:modified>
</cp:coreProperties>
</file>