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70" w:rsidRPr="00D21670" w:rsidRDefault="00D21670" w:rsidP="00D21670">
      <w:pPr>
        <w:spacing w:after="240" w:line="240" w:lineRule="auto"/>
        <w:rPr>
          <w:b/>
          <w:sz w:val="28"/>
        </w:rPr>
      </w:pPr>
      <w:r w:rsidRPr="00D21670">
        <w:rPr>
          <w:b/>
          <w:sz w:val="28"/>
        </w:rPr>
        <w:t xml:space="preserve">Принятие решения о </w:t>
      </w:r>
      <w:r w:rsidR="0028276C">
        <w:rPr>
          <w:b/>
          <w:sz w:val="28"/>
        </w:rPr>
        <w:t>закрытии подразделения</w:t>
      </w:r>
    </w:p>
    <w:p w:rsidR="0028276C" w:rsidRDefault="0028276C" w:rsidP="0028276C">
      <w:pPr>
        <w:spacing w:after="120" w:line="240" w:lineRule="auto"/>
      </w:pPr>
      <w:proofErr w:type="gramStart"/>
      <w:r>
        <w:t xml:space="preserve">Ранее я описал специфику </w:t>
      </w:r>
      <w:hyperlink r:id="rId8" w:history="1">
        <w:r w:rsidRPr="0020061A">
          <w:rPr>
            <w:rStyle w:val="a6"/>
          </w:rPr>
          <w:t>принятия управленческих решений с учетом ограничивающих факторов</w:t>
        </w:r>
      </w:hyperlink>
      <w:r>
        <w:t xml:space="preserve">. Затем на основе этой общей концепции рассмотрел несколько частных случаев – </w:t>
      </w:r>
      <w:hyperlink r:id="rId9" w:history="1">
        <w:r w:rsidRPr="00983655">
          <w:rPr>
            <w:rStyle w:val="a6"/>
          </w:rPr>
          <w:t>принятие решения о выполнении заказа, а также об изготовлении или покупке на стороне</w:t>
        </w:r>
      </w:hyperlink>
      <w:r>
        <w:t xml:space="preserve">, </w:t>
      </w:r>
      <w:hyperlink r:id="rId10" w:history="1">
        <w:r w:rsidRPr="00BE0DF0">
          <w:rPr>
            <w:rStyle w:val="a6"/>
          </w:rPr>
          <w:t xml:space="preserve">принятие </w:t>
        </w:r>
        <w:r w:rsidR="00BE0DF0" w:rsidRPr="00BE0DF0">
          <w:rPr>
            <w:rStyle w:val="a6"/>
          </w:rPr>
          <w:t>решения о снятии продукта с производства</w:t>
        </w:r>
      </w:hyperlink>
      <w:r w:rsidR="00BE0DF0">
        <w:t xml:space="preserve">. </w:t>
      </w:r>
      <w:r w:rsidR="00BE0DF0" w:rsidRPr="00BE0DF0">
        <w:t>Иногда, если принимает</w:t>
      </w:r>
      <w:r w:rsidR="004158F4">
        <w:t>ся</w:t>
      </w:r>
      <w:r w:rsidR="00BE0DF0" w:rsidRPr="00BE0DF0">
        <w:t xml:space="preserve"> решение прекратить производство продукта или вид деятельности, </w:t>
      </w:r>
      <w:r w:rsidR="004158F4">
        <w:t>важно также понять,</w:t>
      </w:r>
      <w:r w:rsidR="00BE0DF0" w:rsidRPr="00BE0DF0">
        <w:t xml:space="preserve"> когда </w:t>
      </w:r>
      <w:r w:rsidR="004158F4">
        <w:t xml:space="preserve">следует </w:t>
      </w:r>
      <w:r w:rsidR="00BE0DF0" w:rsidRPr="00BE0DF0">
        <w:t>прекратить производство или деятельность</w:t>
      </w:r>
      <w:proofErr w:type="gramEnd"/>
      <w:r w:rsidR="00BE0DF0" w:rsidRPr="00BE0DF0">
        <w:t xml:space="preserve">. </w:t>
      </w:r>
      <w:r w:rsidR="00BE0DF0">
        <w:t>Рассмотрим</w:t>
      </w:r>
      <w:r w:rsidR="00BE0DF0" w:rsidRPr="00BE0DF0">
        <w:t xml:space="preserve"> </w:t>
      </w:r>
      <w:r w:rsidR="00BE0DF0">
        <w:t>пример,</w:t>
      </w:r>
      <w:r w:rsidR="00BE0DF0" w:rsidRPr="00BE0DF0">
        <w:t xml:space="preserve"> показыва</w:t>
      </w:r>
      <w:r w:rsidR="00BE0DF0">
        <w:t>ющий</w:t>
      </w:r>
      <w:r w:rsidR="00BE0DF0" w:rsidRPr="00BE0DF0">
        <w:t xml:space="preserve">, как </w:t>
      </w:r>
      <w:r w:rsidR="00BE0DF0">
        <w:t>может приниматься такое решение</w:t>
      </w:r>
      <w:r>
        <w:t>.</w:t>
      </w:r>
      <w:r>
        <w:rPr>
          <w:rStyle w:val="a5"/>
        </w:rPr>
        <w:footnoteReference w:id="1"/>
      </w:r>
      <w:r>
        <w:t xml:space="preserve"> </w:t>
      </w:r>
    </w:p>
    <w:p w:rsidR="0028276C" w:rsidRDefault="0028276C" w:rsidP="0028276C">
      <w:pPr>
        <w:spacing w:after="120" w:line="240" w:lineRule="auto"/>
      </w:pPr>
      <w:r>
        <w:t>Некоторые затраты можно предотвратить в долгосрочно</w:t>
      </w:r>
      <w:r w:rsidR="00BE0DF0">
        <w:t>й</w:t>
      </w:r>
      <w:r>
        <w:t>, но не в краткосрочно</w:t>
      </w:r>
      <w:r w:rsidR="00BE0DF0">
        <w:t>й</w:t>
      </w:r>
      <w:r>
        <w:t xml:space="preserve"> </w:t>
      </w:r>
      <w:r w:rsidR="00BE0DF0">
        <w:t>перспективе</w:t>
      </w:r>
      <w:r>
        <w:t xml:space="preserve">. Например, </w:t>
      </w:r>
      <w:r w:rsidR="00BE0DF0">
        <w:t xml:space="preserve">компания может решить отказаться от аренды помещения, но договором </w:t>
      </w:r>
      <w:r w:rsidR="004158F4">
        <w:t xml:space="preserve">аренды </w:t>
      </w:r>
      <w:r w:rsidR="00BE0DF0">
        <w:t>предусмотрено заблаговременное уведомление об этом</w:t>
      </w:r>
      <w:r>
        <w:t xml:space="preserve">. Если требуется </w:t>
      </w:r>
      <w:r w:rsidR="00BE0DF0">
        <w:t>предупредить арендодателя</w:t>
      </w:r>
      <w:r>
        <w:t xml:space="preserve">, скажем, за три месяца, то расходы на аренду считаются </w:t>
      </w:r>
      <w:r w:rsidRPr="00BE0DF0">
        <w:rPr>
          <w:i/>
        </w:rPr>
        <w:t>неизбежными</w:t>
      </w:r>
      <w:r>
        <w:t xml:space="preserve"> до тех пор, пока не истечет </w:t>
      </w:r>
      <w:r w:rsidR="00BE0DF0">
        <w:t>этот срок</w:t>
      </w:r>
      <w:r>
        <w:t>. После этого затраты</w:t>
      </w:r>
      <w:r w:rsidR="004158F4">
        <w:t xml:space="preserve"> на аренду</w:t>
      </w:r>
      <w:r>
        <w:t xml:space="preserve"> становятся </w:t>
      </w:r>
      <w:r w:rsidRPr="00BE0DF0">
        <w:rPr>
          <w:i/>
        </w:rPr>
        <w:t>предотвратимыми</w:t>
      </w:r>
      <w:r>
        <w:t>.</w:t>
      </w:r>
    </w:p>
    <w:p w:rsidR="0028276C" w:rsidRDefault="0028276C" w:rsidP="0028276C">
      <w:pPr>
        <w:spacing w:after="120" w:line="240" w:lineRule="auto"/>
      </w:pPr>
      <w:r>
        <w:t>Мысль о том, что затраты становятся неизбежными в краткосрочно</w:t>
      </w:r>
      <w:r w:rsidR="004158F4">
        <w:t>й</w:t>
      </w:r>
      <w:r>
        <w:t xml:space="preserve"> </w:t>
      </w:r>
      <w:r w:rsidR="004158F4">
        <w:t>перспективе</w:t>
      </w:r>
      <w:r>
        <w:t>, добавляет новый аспе</w:t>
      </w:r>
      <w:proofErr w:type="gramStart"/>
      <w:r>
        <w:t xml:space="preserve">кт к </w:t>
      </w:r>
      <w:r w:rsidR="004158F4">
        <w:t>пр</w:t>
      </w:r>
      <w:proofErr w:type="gramEnd"/>
      <w:r w:rsidR="004158F4">
        <w:t xml:space="preserve">оцессу принятия решение: важно не только понять, какие </w:t>
      </w:r>
      <w:r>
        <w:t xml:space="preserve">затраты </w:t>
      </w:r>
      <w:r w:rsidR="004158F4">
        <w:t xml:space="preserve">нужно </w:t>
      </w:r>
      <w:r>
        <w:t>предотврати</w:t>
      </w:r>
      <w:r w:rsidR="004158F4">
        <w:t>ть, но и когда это станет возможным</w:t>
      </w:r>
      <w:r>
        <w:t>.</w:t>
      </w:r>
      <w:r w:rsidR="004158F4">
        <w:t xml:space="preserve"> </w:t>
      </w:r>
      <w:r>
        <w:t>В очень краткосрочной перспективе почти все затраты являются непредотвратимыми. В долгосрочно</w:t>
      </w:r>
      <w:r w:rsidR="004158F4">
        <w:t>й</w:t>
      </w:r>
      <w:r>
        <w:t xml:space="preserve"> </w:t>
      </w:r>
      <w:r w:rsidR="004158F4">
        <w:t xml:space="preserve">перспективе </w:t>
      </w:r>
      <w:r>
        <w:t>все затраты являются предотвратимыми</w:t>
      </w:r>
      <w:r w:rsidR="004158F4">
        <w:t xml:space="preserve"> (в конце концов, </w:t>
      </w:r>
      <w:r>
        <w:t>компани</w:t>
      </w:r>
      <w:r w:rsidR="004158F4">
        <w:t>ю можно</w:t>
      </w:r>
      <w:r>
        <w:t xml:space="preserve"> закрыт</w:t>
      </w:r>
      <w:r w:rsidR="004158F4">
        <w:t>ь)</w:t>
      </w:r>
      <w:r>
        <w:t xml:space="preserve">. </w:t>
      </w:r>
      <w:r w:rsidR="004158F4">
        <w:t>Речь может идти</w:t>
      </w:r>
      <w:r>
        <w:t xml:space="preserve"> о временных горизонтах в рамках двух этих крайних случаев.</w:t>
      </w:r>
    </w:p>
    <w:p w:rsidR="0028276C" w:rsidRDefault="0028276C" w:rsidP="0028276C">
      <w:pPr>
        <w:spacing w:after="120" w:line="240" w:lineRule="auto"/>
      </w:pPr>
      <w:r>
        <w:t>Следующ</w:t>
      </w:r>
      <w:r w:rsidR="00BE0DF0">
        <w:t>ий</w:t>
      </w:r>
      <w:r>
        <w:t xml:space="preserve"> </w:t>
      </w:r>
      <w:r w:rsidR="00BE0DF0">
        <w:t>пример</w:t>
      </w:r>
      <w:r>
        <w:t xml:space="preserve"> даст вам возможность попрактиковаться в определени</w:t>
      </w:r>
      <w:r w:rsidR="004158F4">
        <w:t>и</w:t>
      </w:r>
      <w:r>
        <w:t xml:space="preserve"> затрат, которые являются релевантными при принятии решения </w:t>
      </w:r>
      <w:r w:rsidR="004158F4">
        <w:t xml:space="preserve">о </w:t>
      </w:r>
      <w:r>
        <w:t>закрыт</w:t>
      </w:r>
      <w:r w:rsidR="004158F4">
        <w:t>ии</w:t>
      </w:r>
      <w:r>
        <w:t xml:space="preserve"> подразделени</w:t>
      </w:r>
      <w:r w:rsidR="004158F4">
        <w:t>я</w:t>
      </w:r>
      <w:r>
        <w:t xml:space="preserve">. Он также </w:t>
      </w:r>
      <w:r w:rsidR="002033DB">
        <w:t>покажет</w:t>
      </w:r>
      <w:r>
        <w:t>, как определить точное время принятия решения.</w:t>
      </w:r>
    </w:p>
    <w:p w:rsidR="002033DB" w:rsidRDefault="002033DB" w:rsidP="002033DB">
      <w:pPr>
        <w:spacing w:after="120" w:line="240" w:lineRule="auto"/>
      </w:pPr>
      <w:r>
        <w:t xml:space="preserve">Компания изучает возможность закрыть свое внутреннее печатное подразделение. </w:t>
      </w:r>
      <w:r w:rsidR="00B8090E">
        <w:t>Э</w:t>
      </w:r>
      <w:r>
        <w:t>то подразделение печатает все</w:t>
      </w:r>
      <w:r w:rsidR="00B8090E">
        <w:t xml:space="preserve"> рекламные материалы компании и,</w:t>
      </w:r>
      <w:r>
        <w:t xml:space="preserve"> при необходимости,</w:t>
      </w:r>
      <w:r w:rsidR="00B8090E">
        <w:t xml:space="preserve"> </w:t>
      </w:r>
      <w:r>
        <w:t>вы</w:t>
      </w:r>
      <w:r w:rsidR="00B8090E">
        <w:t>полняет другие печатные работы.</w:t>
      </w:r>
    </w:p>
    <w:p w:rsidR="002033DB" w:rsidRDefault="002033DB" w:rsidP="00B8090E">
      <w:pPr>
        <w:spacing w:after="0" w:line="240" w:lineRule="auto"/>
      </w:pPr>
      <w:r>
        <w:t xml:space="preserve">Сторонняя </w:t>
      </w:r>
      <w:r w:rsidR="00B8090E">
        <w:t>организация</w:t>
      </w:r>
      <w:r>
        <w:t xml:space="preserve"> предлагает выполнять все печатные работы д</w:t>
      </w:r>
      <w:r w:rsidR="00B8090E">
        <w:t>ля</w:t>
      </w:r>
      <w:r>
        <w:t xml:space="preserve"> компан</w:t>
      </w:r>
      <w:r w:rsidR="00B8090E">
        <w:t>ии за общую сумму 540 тыс. руб.</w:t>
      </w:r>
      <w:r>
        <w:t xml:space="preserve"> в меся</w:t>
      </w:r>
      <w:r w:rsidR="00B8090E">
        <w:t>ц</w:t>
      </w:r>
      <w:r>
        <w:t>. Затраты внутреннего печатного подразделения следующи</w:t>
      </w:r>
      <w:r w:rsidR="00B8090E">
        <w:t>е</w:t>
      </w:r>
      <w:r>
        <w:t>:</w:t>
      </w:r>
    </w:p>
    <w:p w:rsidR="00B8090E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>Е</w:t>
      </w:r>
      <w:r>
        <w:t xml:space="preserve">жемесячно используется </w:t>
      </w:r>
      <w:r>
        <w:t xml:space="preserve">80 тыс. </w:t>
      </w:r>
      <w:r w:rsidR="002033DB">
        <w:t xml:space="preserve">листов </w:t>
      </w:r>
      <w:r>
        <w:t xml:space="preserve">особой </w:t>
      </w:r>
      <w:r w:rsidR="002033DB">
        <w:t xml:space="preserve">бумаги стоимостью </w:t>
      </w:r>
      <w:r>
        <w:t>3000 руб.</w:t>
      </w:r>
      <w:r w:rsidR="002033DB">
        <w:t xml:space="preserve"> за 1000</w:t>
      </w:r>
      <w:r>
        <w:t xml:space="preserve"> листов</w:t>
      </w:r>
      <w:r>
        <w:t xml:space="preserve">. Контракт на поставку бумаги предусматривает трехмесячное уведомление о расторжении. Компания не держит запас бумаги, но любые избытки могут быть проданы по цене в </w:t>
      </w:r>
      <w:r>
        <w:t>1200 руб.</w:t>
      </w:r>
      <w:r>
        <w:t xml:space="preserve"> за 1000 листов.</w:t>
      </w:r>
    </w:p>
    <w:p w:rsidR="00B8090E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>Ежемесячно используется 400 литров люминесцентной п</w:t>
      </w:r>
      <w:r>
        <w:t xml:space="preserve">ечатной краски стоимостью </w:t>
      </w:r>
      <w:r>
        <w:t>1</w:t>
      </w:r>
      <w:r>
        <w:t>0</w:t>
      </w:r>
      <w:r>
        <w:t>8</w:t>
      </w:r>
      <w:r>
        <w:t xml:space="preserve"> руб.</w:t>
      </w:r>
      <w:r>
        <w:t xml:space="preserve"> за литр. Контракт на поставку краски предусматривает месячное уведомление о расторжении. Компания не держит запас краски, но любые избытки могут быть проданы по цене в </w:t>
      </w:r>
      <w:r>
        <w:t>30 руб.</w:t>
      </w:r>
      <w:r>
        <w:t xml:space="preserve"> за литр.</w:t>
      </w:r>
    </w:p>
    <w:p w:rsidR="00B8090E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 xml:space="preserve">Другие затраты на бумагу и материалы составляют </w:t>
      </w:r>
      <w:r>
        <w:t>171 тыс. руб.</w:t>
      </w:r>
      <w:r>
        <w:t xml:space="preserve"> в месяц.</w:t>
      </w:r>
    </w:p>
    <w:p w:rsidR="00B8090E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>Печатное обо</w:t>
      </w:r>
      <w:r>
        <w:t>рудование арендуется по цене 27</w:t>
      </w:r>
      <w:r>
        <w:t xml:space="preserve">0 </w:t>
      </w:r>
      <w:r>
        <w:t xml:space="preserve">тыс. руб. </w:t>
      </w:r>
      <w:r>
        <w:t xml:space="preserve">в месяц. Оно </w:t>
      </w:r>
      <w:r>
        <w:t>используется</w:t>
      </w:r>
      <w:r>
        <w:t xml:space="preserve"> порядка 120 часов в месяц. Контракт на аренду может быть расторгнут при отправке</w:t>
      </w:r>
      <w:r>
        <w:t xml:space="preserve"> </w:t>
      </w:r>
      <w:r>
        <w:t>уведомления за два месяца.</w:t>
      </w:r>
    </w:p>
    <w:p w:rsidR="00B8090E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>Два сотрудника подразделения по</w:t>
      </w:r>
      <w:r>
        <w:t>лучают в сумме 60 тыс. руб.</w:t>
      </w:r>
      <w:r>
        <w:t xml:space="preserve"> в месяц. Компания придерживается политики не увольнения, что означает, что сотрудникам гарантируется трудоустройство, даже если подразделение закрывается.</w:t>
      </w:r>
    </w:p>
    <w:p w:rsidR="00B8090E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>Переменные накладные расходы</w:t>
      </w:r>
      <w:r>
        <w:t xml:space="preserve"> 240 руб.</w:t>
      </w:r>
      <w:r>
        <w:t xml:space="preserve"> за машино-час.</w:t>
      </w:r>
    </w:p>
    <w:p w:rsidR="00B8090E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>Постоянные накладные расходы</w:t>
      </w:r>
      <w:r>
        <w:t xml:space="preserve"> 180 руб. </w:t>
      </w:r>
      <w:r>
        <w:t>за машино-час.</w:t>
      </w:r>
    </w:p>
    <w:p w:rsidR="002033DB" w:rsidRDefault="00B8090E" w:rsidP="00B8090E">
      <w:pPr>
        <w:pStyle w:val="a7"/>
        <w:numPr>
          <w:ilvl w:val="0"/>
          <w:numId w:val="4"/>
        </w:numPr>
        <w:spacing w:after="120" w:line="240" w:lineRule="auto"/>
      </w:pPr>
      <w:r>
        <w:t xml:space="preserve">Переменные накладные расходы находятся в прямой зависимости от машино-часов работы. Постоянные накладные расходы представляют собой долю накладных расходов всей компании, </w:t>
      </w:r>
      <w:r>
        <w:t xml:space="preserve">сумма </w:t>
      </w:r>
      <w:r>
        <w:t>которы</w:t>
      </w:r>
      <w:r>
        <w:t>х</w:t>
      </w:r>
      <w:r>
        <w:t xml:space="preserve"> не </w:t>
      </w:r>
      <w:r>
        <w:t>изменит</w:t>
      </w:r>
      <w:r>
        <w:t xml:space="preserve">ся в </w:t>
      </w:r>
      <w:r>
        <w:t>случае</w:t>
      </w:r>
      <w:r>
        <w:t xml:space="preserve"> закрытия печатного подразделения.</w:t>
      </w:r>
    </w:p>
    <w:p w:rsidR="00B8090E" w:rsidRDefault="00B8090E" w:rsidP="00B8090E">
      <w:pPr>
        <w:spacing w:after="120" w:line="240" w:lineRule="auto"/>
      </w:pPr>
      <w:r w:rsidRPr="00B8090E">
        <w:rPr>
          <w:b/>
        </w:rPr>
        <w:t>Задание</w:t>
      </w:r>
      <w:r w:rsidRPr="00B8090E">
        <w:rPr>
          <w:b/>
        </w:rPr>
        <w:t xml:space="preserve">. </w:t>
      </w:r>
      <w:r>
        <w:t>Рассчита</w:t>
      </w:r>
      <w:r>
        <w:t>йте</w:t>
      </w:r>
      <w:r w:rsidR="006C5BE1">
        <w:t>, как изменятся затраты в долгосрочной перспективе</w:t>
      </w:r>
      <w:r>
        <w:t xml:space="preserve"> </w:t>
      </w:r>
      <w:r w:rsidR="006C5BE1">
        <w:t>в случае</w:t>
      </w:r>
      <w:r>
        <w:t xml:space="preserve"> закрыти</w:t>
      </w:r>
      <w:r w:rsidR="006C5BE1">
        <w:t>я</w:t>
      </w:r>
      <w:r>
        <w:t xml:space="preserve"> печатного подразделения. Если вы считаете, что подразделение следует закрыть, дайте рекомендации по оптимальным срокам закрытия подразделения.</w:t>
      </w:r>
    </w:p>
    <w:p w:rsidR="00B8090E" w:rsidRDefault="00B8090E" w:rsidP="00B8090E">
      <w:pPr>
        <w:spacing w:after="120" w:line="240" w:lineRule="auto"/>
      </w:pPr>
      <w:r w:rsidRPr="006C5BE1">
        <w:rPr>
          <w:b/>
        </w:rPr>
        <w:lastRenderedPageBreak/>
        <w:t>Решение</w:t>
      </w:r>
      <w:r w:rsidR="006C5BE1">
        <w:rPr>
          <w:b/>
        </w:rPr>
        <w:t xml:space="preserve">. </w:t>
      </w:r>
      <w:r w:rsidR="006C5BE1" w:rsidRPr="006C5BE1">
        <w:t>Для расчета затрат в д</w:t>
      </w:r>
      <w:r w:rsidRPr="006C5BE1">
        <w:t>олгосрочн</w:t>
      </w:r>
      <w:r w:rsidR="006C5BE1" w:rsidRPr="006C5BE1">
        <w:t>ой</w:t>
      </w:r>
      <w:r w:rsidR="006C5BE1">
        <w:t xml:space="preserve"> перспективе</w:t>
      </w:r>
      <w:r>
        <w:t xml:space="preserve"> игнориру</w:t>
      </w:r>
      <w:r w:rsidR="006C5BE1">
        <w:t>ем</w:t>
      </w:r>
      <w:r>
        <w:t xml:space="preserve"> фактор уведомления, предусм</w:t>
      </w:r>
      <w:r w:rsidR="006C5BE1">
        <w:t xml:space="preserve">отренного </w:t>
      </w:r>
      <w:r>
        <w:t>некоторыми контрактами.</w:t>
      </w:r>
      <w:r w:rsidR="006C5BE1">
        <w:t xml:space="preserve"> </w:t>
      </w:r>
      <w:r>
        <w:t xml:space="preserve">Затраты на рабочую силу и постоянные накладные расходы являются </w:t>
      </w:r>
      <w:r w:rsidRPr="005E1E2C">
        <w:rPr>
          <w:b/>
        </w:rPr>
        <w:t>не</w:t>
      </w:r>
      <w:r>
        <w:t xml:space="preserve"> релевантными затратами. Они будут понесены даже, если подразделение будет закрыто</w:t>
      </w:r>
      <w:r w:rsidR="005E1E2C">
        <w:t xml:space="preserve"> (рис. 1)</w:t>
      </w:r>
      <w:r>
        <w:t>.</w:t>
      </w:r>
      <w:r w:rsidR="005E1E2C">
        <w:t xml:space="preserve"> </w:t>
      </w:r>
    </w:p>
    <w:tbl>
      <w:tblPr>
        <w:tblW w:w="8040" w:type="dxa"/>
        <w:tblInd w:w="96" w:type="dxa"/>
        <w:tblLook w:val="04A0"/>
      </w:tblPr>
      <w:tblGrid>
        <w:gridCol w:w="6740"/>
        <w:gridCol w:w="1300"/>
      </w:tblGrid>
      <w:tr w:rsidR="005E1E2C" w:rsidRPr="005E1E2C" w:rsidTr="005E1E2C">
        <w:trPr>
          <w:trHeight w:val="300"/>
        </w:trPr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в месяц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Особая бумага (80 000 листов * 3000 руб. за 1000 листов)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240 000р.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Люминесцентная печатная краска (400 л * 108 руб.)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43 200р.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Другая бумага и материалы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171 000р.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Аренда оборудования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270 000р.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Переменные накладные расходы (120 часов * 240 руб.)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28 800р.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Общие релевантные затраты на внутренние печатные работы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753 000р.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Затраты на внешнюю организацию по печатным работам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540 000р.</w:t>
            </w:r>
          </w:p>
        </w:tc>
      </w:tr>
      <w:tr w:rsidR="005E1E2C" w:rsidRPr="005E1E2C" w:rsidTr="005E1E2C">
        <w:trPr>
          <w:trHeight w:val="300"/>
        </w:trPr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Месячная экономия сре</w:t>
            </w:r>
            <w:proofErr w:type="gramStart"/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дств в р</w:t>
            </w:r>
            <w:proofErr w:type="gramEnd"/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езультате закрытия подразделения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1E2C" w:rsidRPr="005E1E2C" w:rsidRDefault="005E1E2C" w:rsidP="005E1E2C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5E1E2C">
              <w:rPr>
                <w:rFonts w:ascii="Calibri" w:eastAsia="Times New Roman" w:hAnsi="Calibri"/>
                <w:color w:val="000000"/>
                <w:lang w:eastAsia="ru-RU"/>
              </w:rPr>
              <w:t>213 000р.</w:t>
            </w:r>
          </w:p>
        </w:tc>
      </w:tr>
    </w:tbl>
    <w:p w:rsidR="005E1E2C" w:rsidRPr="005E1E2C" w:rsidRDefault="005E1E2C" w:rsidP="005E1E2C">
      <w:pPr>
        <w:spacing w:before="120" w:after="120" w:line="240" w:lineRule="auto"/>
      </w:pPr>
      <w:r w:rsidRPr="005E1E2C">
        <w:t>Рис. 1. Релевантные</w:t>
      </w:r>
      <w:r w:rsidRPr="005E1E2C">
        <w:rPr>
          <w:rFonts w:ascii="Calibri" w:eastAsia="Times New Roman" w:hAnsi="Calibri"/>
          <w:bCs/>
          <w:color w:val="000000"/>
          <w:lang w:eastAsia="ru-RU"/>
        </w:rPr>
        <w:t xml:space="preserve"> затраты внутреннего печатного подразделения</w:t>
      </w:r>
    </w:p>
    <w:p w:rsidR="005E1E2C" w:rsidRDefault="005E1E2C" w:rsidP="005E1E2C">
      <w:pPr>
        <w:spacing w:after="120" w:line="240" w:lineRule="auto"/>
      </w:pPr>
      <w:r>
        <w:t xml:space="preserve">Следовательно, предложение со стороны внешнего поставщика </w:t>
      </w:r>
      <w:r>
        <w:t xml:space="preserve">печатных услуг </w:t>
      </w:r>
      <w:r>
        <w:t>нужно принять; это приведе</w:t>
      </w:r>
      <w:r>
        <w:t xml:space="preserve">т к ежемесячной экономии 213 тыс. руб. </w:t>
      </w:r>
      <w:r w:rsidR="006C5BE1">
        <w:t xml:space="preserve">Эта экономия может быть достигнута только в долгосрочной перспективе, после того как   истекут   все   соответствующие   периоды   уведомления.   В   </w:t>
      </w:r>
      <w:r>
        <w:t>краткосрочной перспективе, некоторые затраты будут по-прежнему понесены в связи с необходимостью направлять уведомление о расторжении контр</w:t>
      </w:r>
      <w:r w:rsidR="0039027A">
        <w:t>акта</w:t>
      </w:r>
      <w:r>
        <w:t xml:space="preserve"> (рис 2). </w:t>
      </w:r>
    </w:p>
    <w:tbl>
      <w:tblPr>
        <w:tblW w:w="9720" w:type="dxa"/>
        <w:tblInd w:w="96" w:type="dxa"/>
        <w:tblLook w:val="04A0"/>
      </w:tblPr>
      <w:tblGrid>
        <w:gridCol w:w="4760"/>
        <w:gridCol w:w="1240"/>
        <w:gridCol w:w="1240"/>
        <w:gridCol w:w="1240"/>
        <w:gridCol w:w="1240"/>
      </w:tblGrid>
      <w:tr w:rsidR="002E7112" w:rsidRPr="002E7112" w:rsidTr="002E7112">
        <w:trPr>
          <w:trHeight w:val="300"/>
        </w:trPr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</w:pPr>
            <w:proofErr w:type="gramStart"/>
            <w:r w:rsidRPr="002E7112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>Релевантные</w:t>
            </w:r>
            <w:proofErr w:type="gramEnd"/>
            <w:r w:rsidRPr="002E7112">
              <w:rPr>
                <w:rFonts w:ascii="Calibri" w:eastAsia="Times New Roman" w:hAnsi="Calibri"/>
                <w:b/>
                <w:bCs/>
                <w:color w:val="000000"/>
                <w:lang w:eastAsia="ru-RU"/>
              </w:rPr>
              <w:t xml:space="preserve"> экономия и выручка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Месяц 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Месяц 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Месяц 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Месяц 4</w:t>
            </w:r>
          </w:p>
        </w:tc>
      </w:tr>
      <w:tr w:rsidR="002E7112" w:rsidRPr="002E7112" w:rsidTr="002E7112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Особая бумага</w:t>
            </w:r>
            <w:proofErr w:type="gramStart"/>
            <w:r w:rsidRPr="002E7112">
              <w:rPr>
                <w:rFonts w:ascii="Calibri" w:eastAsia="Times New Roman" w:hAnsi="Calibri"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240 000р.</w:t>
            </w:r>
          </w:p>
        </w:tc>
      </w:tr>
      <w:tr w:rsidR="002E7112" w:rsidRPr="002E7112" w:rsidTr="002E7112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Выручка от продажи избытка бумаги (80 * 1200)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96 000р.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96 000р.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96 000р.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2E7112" w:rsidRPr="002E7112" w:rsidTr="002E7112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Люминесцентная печатная краска</w:t>
            </w:r>
            <w:proofErr w:type="gramStart"/>
            <w:r w:rsidRPr="002E7112">
              <w:rPr>
                <w:rFonts w:ascii="Calibri" w:eastAsia="Times New Roman" w:hAnsi="Calibri"/>
                <w:color w:val="00000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43 200р.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43 200р.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43 200р.</w:t>
            </w:r>
          </w:p>
        </w:tc>
      </w:tr>
      <w:tr w:rsidR="002E7112" w:rsidRPr="002E7112" w:rsidTr="002E7112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Выручка от продажи избытка краски (400 * 30)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12 000р.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</w:tr>
      <w:tr w:rsidR="002E7112" w:rsidRPr="002E7112" w:rsidTr="002E7112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Другая бумага и материалы</w:t>
            </w:r>
            <w:r w:rsidRPr="002E7112">
              <w:rPr>
                <w:rFonts w:ascii="Calibri" w:eastAsia="Times New Roman" w:hAnsi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171 000р.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171 000р.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171 000р.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171 000р.</w:t>
            </w:r>
          </w:p>
        </w:tc>
      </w:tr>
      <w:tr w:rsidR="002E7112" w:rsidRPr="002E7112" w:rsidTr="002E7112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Аренда оборудования</w:t>
            </w:r>
            <w:proofErr w:type="gramStart"/>
            <w:r w:rsidRPr="002E7112">
              <w:rPr>
                <w:rFonts w:ascii="Calibri" w:eastAsia="Times New Roman" w:hAnsi="Calibri"/>
                <w:color w:val="000000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270 000р.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270 000р.</w:t>
            </w:r>
          </w:p>
        </w:tc>
      </w:tr>
      <w:tr w:rsidR="002E7112" w:rsidRPr="002E7112" w:rsidTr="002E7112">
        <w:trPr>
          <w:trHeight w:val="345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Переменные накладные расходы</w:t>
            </w:r>
            <w:r w:rsidRPr="002E7112">
              <w:rPr>
                <w:rFonts w:ascii="Calibri" w:eastAsia="Times New Roman" w:hAnsi="Calibri"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28 800р.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28 800р.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28 800р.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28 800р.</w:t>
            </w:r>
          </w:p>
        </w:tc>
      </w:tr>
      <w:tr w:rsidR="002E7112" w:rsidRPr="002E7112" w:rsidTr="002E7112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Релевантная экономия и выручка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307 800р.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339 000р.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609 000р.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753 000р.</w:t>
            </w:r>
          </w:p>
        </w:tc>
      </w:tr>
      <w:tr w:rsidR="002E7112" w:rsidRPr="002E7112" w:rsidTr="002E7112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Затраты на внешнюю печать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540 000р.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540 000р.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540 000р.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540 000р.</w:t>
            </w:r>
          </w:p>
        </w:tc>
      </w:tr>
      <w:tr w:rsidR="002E7112" w:rsidRPr="002E7112" w:rsidTr="002E7112">
        <w:trPr>
          <w:trHeight w:val="300"/>
        </w:trPr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Экономика закрытия подразделения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-232 200р.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-201 000р.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69 000р.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7112" w:rsidRPr="002E7112" w:rsidRDefault="002E7112" w:rsidP="002E7112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lang w:eastAsia="ru-RU"/>
              </w:rPr>
            </w:pPr>
            <w:r w:rsidRPr="002E7112">
              <w:rPr>
                <w:rFonts w:ascii="Calibri" w:eastAsia="Times New Roman" w:hAnsi="Calibri"/>
                <w:color w:val="000000"/>
                <w:lang w:eastAsia="ru-RU"/>
              </w:rPr>
              <w:t>213 000р.</w:t>
            </w:r>
          </w:p>
        </w:tc>
      </w:tr>
    </w:tbl>
    <w:p w:rsidR="00A647D0" w:rsidRDefault="0039027A" w:rsidP="00A647D0">
      <w:pPr>
        <w:spacing w:before="120" w:after="120" w:line="240" w:lineRule="auto"/>
      </w:pPr>
      <w:r>
        <w:t xml:space="preserve">Рис. 2. Экономия от закрытия печатного подразделения; месячная динамика; </w:t>
      </w:r>
      <w:r w:rsidR="009616B4">
        <w:t>«М</w:t>
      </w:r>
      <w:r>
        <w:t>есяц 1</w:t>
      </w:r>
      <w:r w:rsidR="009616B4">
        <w:t>»</w:t>
      </w:r>
      <w:r>
        <w:t xml:space="preserve"> означает, один месяц с сегодняшней даты</w:t>
      </w:r>
      <w:r w:rsidR="00A647D0">
        <w:t xml:space="preserve">. </w:t>
      </w:r>
      <w:r w:rsidR="00A647D0" w:rsidRPr="00A647D0">
        <w:rPr>
          <w:vertAlign w:val="superscript"/>
        </w:rPr>
        <w:t>1</w:t>
      </w:r>
      <w:r w:rsidR="00A647D0">
        <w:t xml:space="preserve">Экономия на особой бумаге будет получена не раньше четвертого месяца, поскольку требуется уведомление о расторжении контракта за 3 месяца, и компания обязана закупить бумагу. Тем не менее, если печатные работы прекратятся немедленно, бумага может быть перепродана по цене </w:t>
      </w:r>
      <w:r w:rsidR="00A647D0">
        <w:t>96 тыс. руб.</w:t>
      </w:r>
      <w:r w:rsidR="00A647D0">
        <w:t xml:space="preserve"> в месяц.</w:t>
      </w:r>
      <w:r w:rsidR="00A647D0">
        <w:t xml:space="preserve"> </w:t>
      </w:r>
      <w:r w:rsidR="00A647D0" w:rsidRPr="00A647D0">
        <w:rPr>
          <w:vertAlign w:val="superscript"/>
        </w:rPr>
        <w:t>2</w:t>
      </w:r>
      <w:r w:rsidR="00A647D0">
        <w:t>Экономия на люмин</w:t>
      </w:r>
      <w:r w:rsidR="00A647D0">
        <w:t>е</w:t>
      </w:r>
      <w:r w:rsidR="00A647D0">
        <w:t xml:space="preserve">сцентной печатной краске будет получена только после второго месяца, поскольку компания будет обязана покупать ее в течение первого месяца. </w:t>
      </w:r>
      <w:proofErr w:type="gramStart"/>
      <w:r w:rsidR="00A647D0">
        <w:t xml:space="preserve">Если печатные работы прекратятся немедленно, краска может быть перепродана по цене </w:t>
      </w:r>
      <w:r w:rsidR="00A647D0">
        <w:t>12 тыс. руб.</w:t>
      </w:r>
      <w:r w:rsidR="00A647D0">
        <w:t xml:space="preserve"> </w:t>
      </w:r>
      <w:r w:rsidR="00A647D0">
        <w:t>в</w:t>
      </w:r>
      <w:r w:rsidR="00A647D0">
        <w:t xml:space="preserve"> месяц.</w:t>
      </w:r>
      <w:r w:rsidR="00A647D0">
        <w:t xml:space="preserve"> </w:t>
      </w:r>
      <w:r w:rsidR="00A647D0" w:rsidRPr="00A647D0">
        <w:rPr>
          <w:vertAlign w:val="superscript"/>
        </w:rPr>
        <w:t>3</w:t>
      </w:r>
      <w:r w:rsidR="00A647D0">
        <w:t>Другие существенные затраты и переменные накладные расходы являются релевантными, начиная с первого месяца, поскольку их можно избежать, как только</w:t>
      </w:r>
      <w:r w:rsidR="00A647D0">
        <w:t xml:space="preserve"> </w:t>
      </w:r>
      <w:r w:rsidR="00A647D0">
        <w:t>закроется подразделение.</w:t>
      </w:r>
      <w:r w:rsidR="00A647D0">
        <w:t xml:space="preserve"> </w:t>
      </w:r>
      <w:r w:rsidR="00A647D0" w:rsidRPr="00A647D0">
        <w:rPr>
          <w:vertAlign w:val="superscript"/>
        </w:rPr>
        <w:t>4</w:t>
      </w:r>
      <w:r w:rsidR="00A647D0">
        <w:t>Экономия на аренде оборудования будет получена только начиная с третьего месяца, поскольку аренда в любом случае должна быть оплачена за следующие два месяца.</w:t>
      </w:r>
      <w:proofErr w:type="gramEnd"/>
    </w:p>
    <w:p w:rsidR="00A647D0" w:rsidRDefault="00A647D0" w:rsidP="00A647D0">
      <w:pPr>
        <w:spacing w:after="120" w:line="240" w:lineRule="auto"/>
      </w:pPr>
      <w:r>
        <w:t>Обра</w:t>
      </w:r>
      <w:r>
        <w:t xml:space="preserve">тите </w:t>
      </w:r>
      <w:r>
        <w:t>внимание</w:t>
      </w:r>
      <w:r>
        <w:t xml:space="preserve">, что долгосрочная </w:t>
      </w:r>
      <w:r>
        <w:t>месячная экономия</w:t>
      </w:r>
      <w:r>
        <w:t>, рассчитанная в табл. 1, и составляющая 213 тыс. руб. в месяц</w:t>
      </w:r>
      <w:r>
        <w:t xml:space="preserve"> </w:t>
      </w:r>
      <w:r>
        <w:t>может быть получена только, начиная с четвертого месяца.</w:t>
      </w:r>
    </w:p>
    <w:p w:rsidR="002033DB" w:rsidRDefault="00A647D0" w:rsidP="00A647D0">
      <w:pPr>
        <w:spacing w:after="120" w:line="240" w:lineRule="auto"/>
      </w:pPr>
      <w:r w:rsidRPr="00A647D0">
        <w:rPr>
          <w:b/>
        </w:rPr>
        <w:t xml:space="preserve">Рекомендации. </w:t>
      </w:r>
      <w:r>
        <w:t xml:space="preserve">Печатное подразделение следует закрыть </w:t>
      </w:r>
      <w:r>
        <w:t>на третий месяц. Первые два месяца следует оставить производство, иначе компания понесет убытки.</w:t>
      </w:r>
      <w:r>
        <w:t xml:space="preserve"> </w:t>
      </w:r>
      <w:r>
        <w:t>Пока продолжается работа,</w:t>
      </w:r>
      <w:r>
        <w:t xml:space="preserve">  следует  направить  уведомления  </w:t>
      </w:r>
      <w:r>
        <w:t>о прекращении</w:t>
      </w:r>
      <w:r>
        <w:t xml:space="preserve">  </w:t>
      </w:r>
      <w:r>
        <w:t>контрактов</w:t>
      </w:r>
      <w:r>
        <w:t>:</w:t>
      </w:r>
    </w:p>
    <w:tbl>
      <w:tblPr>
        <w:tblStyle w:val="aa"/>
        <w:tblW w:w="0" w:type="auto"/>
        <w:tblLook w:val="04A0"/>
      </w:tblPr>
      <w:tblGrid>
        <w:gridCol w:w="1930"/>
        <w:gridCol w:w="7640"/>
      </w:tblGrid>
      <w:tr w:rsidR="00A647D0" w:rsidTr="009616B4">
        <w:tc>
          <w:tcPr>
            <w:tcW w:w="1668" w:type="dxa"/>
          </w:tcPr>
          <w:p w:rsidR="00A647D0" w:rsidRPr="00A647D0" w:rsidRDefault="00A647D0" w:rsidP="00A647D0">
            <w:pPr>
              <w:spacing w:before="20" w:after="20"/>
              <w:rPr>
                <w:i/>
              </w:rPr>
            </w:pPr>
            <w:r w:rsidRPr="00A647D0">
              <w:rPr>
                <w:i/>
              </w:rPr>
              <w:t>Особая бумага</w:t>
            </w:r>
          </w:p>
        </w:tc>
        <w:tc>
          <w:tcPr>
            <w:tcW w:w="7902" w:type="dxa"/>
          </w:tcPr>
          <w:p w:rsidR="00A647D0" w:rsidRDefault="00A647D0" w:rsidP="00A647D0">
            <w:pPr>
              <w:spacing w:before="20" w:after="20"/>
            </w:pPr>
            <w:r>
              <w:t>Неме</w:t>
            </w:r>
            <w:r>
              <w:t>д</w:t>
            </w:r>
            <w:r>
              <w:t>ленно направить уведомление. Продолжать использовать бумагу в</w:t>
            </w:r>
            <w:r>
              <w:t xml:space="preserve"> Месяц 1 и 2, а в</w:t>
            </w:r>
            <w:r>
              <w:t xml:space="preserve"> течение</w:t>
            </w:r>
            <w:r>
              <w:t xml:space="preserve"> Месяца 3 </w:t>
            </w:r>
            <w:r>
              <w:t>продать запасы, когда подразделение</w:t>
            </w:r>
            <w:r>
              <w:t xml:space="preserve"> </w:t>
            </w:r>
            <w:r>
              <w:lastRenderedPageBreak/>
              <w:t>будет закрыто.</w:t>
            </w:r>
          </w:p>
        </w:tc>
      </w:tr>
      <w:tr w:rsidR="00A647D0" w:rsidTr="009616B4">
        <w:tc>
          <w:tcPr>
            <w:tcW w:w="1668" w:type="dxa"/>
          </w:tcPr>
          <w:p w:rsidR="00A647D0" w:rsidRPr="00A647D0" w:rsidRDefault="00A647D0" w:rsidP="00A647D0">
            <w:pPr>
              <w:spacing w:before="20" w:after="20"/>
              <w:rPr>
                <w:i/>
              </w:rPr>
            </w:pPr>
            <w:r w:rsidRPr="00A647D0">
              <w:rPr>
                <w:i/>
              </w:rPr>
              <w:lastRenderedPageBreak/>
              <w:t>Люминесцентная печатная краска</w:t>
            </w:r>
          </w:p>
        </w:tc>
        <w:tc>
          <w:tcPr>
            <w:tcW w:w="7902" w:type="dxa"/>
          </w:tcPr>
          <w:p w:rsidR="00A647D0" w:rsidRDefault="009616B4" w:rsidP="00A647D0">
            <w:pPr>
              <w:spacing w:before="20" w:after="20"/>
            </w:pPr>
            <w:r>
              <w:t>Направить уведомление в конце первого месяца. Тогда срок действия уведомления истечет в начале третьего месяца, когда подразделение будет закрыто.</w:t>
            </w:r>
          </w:p>
        </w:tc>
      </w:tr>
      <w:tr w:rsidR="00A647D0" w:rsidTr="009616B4">
        <w:tc>
          <w:tcPr>
            <w:tcW w:w="1668" w:type="dxa"/>
          </w:tcPr>
          <w:p w:rsidR="00A647D0" w:rsidRPr="009616B4" w:rsidRDefault="009616B4" w:rsidP="00A647D0">
            <w:pPr>
              <w:spacing w:before="20" w:after="20"/>
              <w:rPr>
                <w:i/>
              </w:rPr>
            </w:pPr>
            <w:r w:rsidRPr="009616B4">
              <w:rPr>
                <w:i/>
              </w:rPr>
              <w:t>Печатное оборудование</w:t>
            </w:r>
          </w:p>
        </w:tc>
        <w:tc>
          <w:tcPr>
            <w:tcW w:w="7902" w:type="dxa"/>
          </w:tcPr>
          <w:p w:rsidR="00A647D0" w:rsidRDefault="009616B4" w:rsidP="009616B4">
            <w:pPr>
              <w:spacing w:after="120"/>
            </w:pPr>
            <w:r>
              <w:t>Немедленно направить уведомление. Тогда срок действия уведомления истечет в начале третьего месяца, когда подразделение будет закрыто.</w:t>
            </w:r>
          </w:p>
        </w:tc>
      </w:tr>
    </w:tbl>
    <w:p w:rsidR="00A647D0" w:rsidRDefault="00A647D0" w:rsidP="00A647D0">
      <w:pPr>
        <w:spacing w:after="120" w:line="240" w:lineRule="auto"/>
      </w:pPr>
    </w:p>
    <w:sectPr w:rsidR="00A647D0" w:rsidSect="00D21670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BA2" w:rsidRDefault="00157BA2" w:rsidP="00983655">
      <w:pPr>
        <w:spacing w:after="0" w:line="240" w:lineRule="auto"/>
      </w:pPr>
      <w:r>
        <w:separator/>
      </w:r>
    </w:p>
  </w:endnote>
  <w:endnote w:type="continuationSeparator" w:id="0">
    <w:p w:rsidR="00157BA2" w:rsidRDefault="00157BA2" w:rsidP="0098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BA2" w:rsidRDefault="00157BA2" w:rsidP="00983655">
      <w:pPr>
        <w:spacing w:after="0" w:line="240" w:lineRule="auto"/>
      </w:pPr>
      <w:r>
        <w:separator/>
      </w:r>
    </w:p>
  </w:footnote>
  <w:footnote w:type="continuationSeparator" w:id="0">
    <w:p w:rsidR="00157BA2" w:rsidRDefault="00157BA2" w:rsidP="00983655">
      <w:pPr>
        <w:spacing w:after="0" w:line="240" w:lineRule="auto"/>
      </w:pPr>
      <w:r>
        <w:continuationSeparator/>
      </w:r>
    </w:p>
  </w:footnote>
  <w:footnote w:id="1">
    <w:p w:rsidR="0028276C" w:rsidRDefault="0028276C" w:rsidP="0028276C">
      <w:pPr>
        <w:pStyle w:val="a3"/>
      </w:pPr>
      <w:r>
        <w:rPr>
          <w:rStyle w:val="a5"/>
        </w:rPr>
        <w:footnoteRef/>
      </w:r>
      <w:r>
        <w:t xml:space="preserve"> Настоящая заметка написана по материалам </w:t>
      </w:r>
      <w:hyperlink r:id="rId1" w:history="1">
        <w:r w:rsidRPr="00B91AA2">
          <w:rPr>
            <w:rStyle w:val="a6"/>
            <w:lang w:val="en-US"/>
          </w:rPr>
          <w:t>CIMA</w:t>
        </w:r>
      </w:hyperlink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261"/>
    <w:multiLevelType w:val="hybridMultilevel"/>
    <w:tmpl w:val="331C0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23A6F"/>
    <w:multiLevelType w:val="hybridMultilevel"/>
    <w:tmpl w:val="F176C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9250B"/>
    <w:multiLevelType w:val="hybridMultilevel"/>
    <w:tmpl w:val="FB36E362"/>
    <w:lvl w:ilvl="0" w:tplc="9DC654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1945"/>
    <w:multiLevelType w:val="hybridMultilevel"/>
    <w:tmpl w:val="472C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670"/>
    <w:rsid w:val="00024340"/>
    <w:rsid w:val="00025DE7"/>
    <w:rsid w:val="00096327"/>
    <w:rsid w:val="00136326"/>
    <w:rsid w:val="00157BA2"/>
    <w:rsid w:val="001D09B8"/>
    <w:rsid w:val="002033DB"/>
    <w:rsid w:val="0028276C"/>
    <w:rsid w:val="002E7112"/>
    <w:rsid w:val="003527B0"/>
    <w:rsid w:val="0039027A"/>
    <w:rsid w:val="003F63D5"/>
    <w:rsid w:val="00413E25"/>
    <w:rsid w:val="004158F4"/>
    <w:rsid w:val="005308DB"/>
    <w:rsid w:val="005E1E2C"/>
    <w:rsid w:val="006017E3"/>
    <w:rsid w:val="00613ACD"/>
    <w:rsid w:val="00684E8C"/>
    <w:rsid w:val="006C5BE1"/>
    <w:rsid w:val="00720D04"/>
    <w:rsid w:val="009616B4"/>
    <w:rsid w:val="00983655"/>
    <w:rsid w:val="00A03FA9"/>
    <w:rsid w:val="00A647D0"/>
    <w:rsid w:val="00A81F0B"/>
    <w:rsid w:val="00AB33E8"/>
    <w:rsid w:val="00AE3246"/>
    <w:rsid w:val="00B8090E"/>
    <w:rsid w:val="00BE0DF0"/>
    <w:rsid w:val="00BF5289"/>
    <w:rsid w:val="00D1455F"/>
    <w:rsid w:val="00D21670"/>
    <w:rsid w:val="00D65501"/>
    <w:rsid w:val="00D97FE5"/>
    <w:rsid w:val="00FF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7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8365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83655"/>
    <w:rPr>
      <w:rFonts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83655"/>
    <w:rPr>
      <w:vertAlign w:val="superscript"/>
    </w:rPr>
  </w:style>
  <w:style w:type="character" w:styleId="a6">
    <w:name w:val="Hyperlink"/>
    <w:basedOn w:val="a0"/>
    <w:uiPriority w:val="99"/>
    <w:unhideWhenUsed/>
    <w:rsid w:val="0098365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836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E1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E2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64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9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guzin.ru/wp/?p=3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guzin.ru/wp/?p=3027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maglobal.com/Documents/Thought_leadership_docs/Global_manufacturing_report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7193F6-8F11-4C13-88CA-DC5410DA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5</cp:revision>
  <dcterms:created xsi:type="dcterms:W3CDTF">2012-05-19T15:39:00Z</dcterms:created>
  <dcterms:modified xsi:type="dcterms:W3CDTF">2012-05-19T18:19:00Z</dcterms:modified>
</cp:coreProperties>
</file>