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7A" w:rsidRDefault="00D5044D" w:rsidP="00253D66">
      <w:pPr>
        <w:spacing w:after="24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Стоимость</w:t>
      </w:r>
      <w:r w:rsidR="00416DA7" w:rsidRPr="00416DA7">
        <w:rPr>
          <w:b/>
          <w:sz w:val="28"/>
        </w:rPr>
        <w:t xml:space="preserve"> опцион</w:t>
      </w:r>
      <w:r>
        <w:rPr>
          <w:b/>
          <w:sz w:val="28"/>
        </w:rPr>
        <w:t>а</w:t>
      </w:r>
      <w:r w:rsidR="00416DA7" w:rsidRPr="00416DA7">
        <w:rPr>
          <w:b/>
          <w:sz w:val="28"/>
        </w:rPr>
        <w:t xml:space="preserve"> в Excel</w:t>
      </w:r>
    </w:p>
    <w:p w:rsidR="00416DA7" w:rsidRDefault="00416DA7" w:rsidP="00416DA7">
      <w:pPr>
        <w:spacing w:after="120" w:line="240" w:lineRule="auto"/>
      </w:pPr>
      <w:r>
        <w:t>В начале 70-х годов прошлого века экономисты Фишер Блэк, Майрон Шоулз и Роберт Мертон вывели формулу ценообразования опционов Блэка–Шоулза, которая позволяет получить оценку европейских колл- и пут-опционов. За свою работу Шоулз и Мертон были удостоены Нобелевской премии по экономике в 1997 г. (Блэк умер до 1997 г., а Нобелевская премия не присуждается посмертно.) Их научный труд произвел революцию в области корпоративных финансов. В данной заметке приведены основные положения этой важной научной работы</w:t>
      </w:r>
      <w:r w:rsidR="000A1693">
        <w:t xml:space="preserve">, а также показано, как рассчитать </w:t>
      </w:r>
      <w:r w:rsidR="000A1693" w:rsidRPr="000A1693">
        <w:rPr>
          <w:i/>
        </w:rPr>
        <w:t>стоимость опциона</w:t>
      </w:r>
      <w:r w:rsidR="006548E9">
        <w:t xml:space="preserve"> с </w:t>
      </w:r>
      <w:r w:rsidR="000A1693">
        <w:t>помощью</w:t>
      </w:r>
      <w:r w:rsidR="006548E9">
        <w:t xml:space="preserve"> </w:t>
      </w:r>
      <w:r w:rsidR="006548E9">
        <w:rPr>
          <w:lang w:val="en-US"/>
        </w:rPr>
        <w:t>Excel</w:t>
      </w:r>
      <w:r>
        <w:t>.</w:t>
      </w:r>
      <w:r>
        <w:rPr>
          <w:rStyle w:val="ab"/>
        </w:rPr>
        <w:footnoteReference w:id="1"/>
      </w:r>
    </w:p>
    <w:p w:rsidR="006548E9" w:rsidRDefault="006548E9" w:rsidP="006548E9">
      <w:pPr>
        <w:pStyle w:val="2"/>
      </w:pPr>
      <w:r>
        <w:t>Основные сведения об опционах</w:t>
      </w:r>
    </w:p>
    <w:p w:rsidR="00416DA7" w:rsidRDefault="00416DA7" w:rsidP="00416DA7">
      <w:pPr>
        <w:spacing w:after="120" w:line="240" w:lineRule="auto"/>
      </w:pPr>
      <w:r w:rsidRPr="006548E9">
        <w:rPr>
          <w:i/>
        </w:rPr>
        <w:t>Колл-опцион</w:t>
      </w:r>
      <w:r>
        <w:t xml:space="preserve"> дает владельцу опциона право купить</w:t>
      </w:r>
      <w:r w:rsidR="006548E9">
        <w:t xml:space="preserve"> акцию</w:t>
      </w:r>
      <w:r w:rsidR="006548E9" w:rsidRPr="006548E9">
        <w:t xml:space="preserve"> (</w:t>
      </w:r>
      <w:r w:rsidR="006548E9">
        <w:t xml:space="preserve">или иной актив, например, валюту) по цене исполнения. </w:t>
      </w:r>
      <w:r w:rsidR="006548E9" w:rsidRPr="006548E9">
        <w:rPr>
          <w:i/>
        </w:rPr>
        <w:t>Пут-</w:t>
      </w:r>
      <w:r w:rsidRPr="006548E9">
        <w:rPr>
          <w:i/>
        </w:rPr>
        <w:t>опцион</w:t>
      </w:r>
      <w:r>
        <w:t xml:space="preserve"> дает владельцу опциона право продать акцию по цене исполнения. </w:t>
      </w:r>
    </w:p>
    <w:p w:rsidR="00416DA7" w:rsidRDefault="00416DA7" w:rsidP="00416DA7">
      <w:pPr>
        <w:spacing w:after="120" w:line="240" w:lineRule="auto"/>
      </w:pPr>
      <w:r w:rsidRPr="006548E9">
        <w:rPr>
          <w:i/>
        </w:rPr>
        <w:t>Американский опцион</w:t>
      </w:r>
      <w:r>
        <w:t xml:space="preserve"> может быть исполнен не позднее даты, известной как дата исполнения (часто называемой датой истечения срока действия опциона). </w:t>
      </w:r>
      <w:r w:rsidRPr="006548E9">
        <w:rPr>
          <w:i/>
        </w:rPr>
        <w:t>Европейский опцион</w:t>
      </w:r>
      <w:r>
        <w:t xml:space="preserve"> может быть исполнен только в последний день срока его действия.</w:t>
      </w:r>
    </w:p>
    <w:p w:rsidR="00416DA7" w:rsidRPr="00582942" w:rsidRDefault="00416DA7" w:rsidP="00416DA7">
      <w:pPr>
        <w:spacing w:after="120" w:line="240" w:lineRule="auto"/>
      </w:pPr>
      <w:r>
        <w:t xml:space="preserve">Давайте рассмотрим </w:t>
      </w:r>
      <w:r w:rsidR="000A1693">
        <w:t xml:space="preserve">итоги сделки по приобретению </w:t>
      </w:r>
      <w:r>
        <w:t>ше</w:t>
      </w:r>
      <w:r w:rsidR="006548E9">
        <w:t>стимесячного европейского колл-</w:t>
      </w:r>
      <w:r>
        <w:t xml:space="preserve">опциона на акции IBM с ценой исполнения 110 долларов. Пусть P — это курс акции IBM через шесть месяцев. Выигрыш от колл-опциона на эти акции составит </w:t>
      </w:r>
      <w:r w:rsidR="006548E9">
        <w:t xml:space="preserve">0 долларов, если P &lt; 110 (зачем исполнять опцион, если цена акций на спотовом рынке ниже цены исполнения!?), и </w:t>
      </w:r>
      <w:r w:rsidR="000A1693">
        <w:t>(</w:t>
      </w:r>
      <w:r w:rsidR="006548E9">
        <w:t>P –</w:t>
      </w:r>
      <w:r>
        <w:t xml:space="preserve"> 110</w:t>
      </w:r>
      <w:r w:rsidR="000A1693">
        <w:t>)</w:t>
      </w:r>
      <w:r>
        <w:t xml:space="preserve"> долларов, если P &gt; 110. Если значение P больше 110 долларов, владелец может исполнить опцион, купив акцию за 110 долларов и немедленно продав ее </w:t>
      </w:r>
      <w:r w:rsidR="000A1693">
        <w:t xml:space="preserve">на спотовом рынке </w:t>
      </w:r>
      <w:r>
        <w:t>за P долларов, и</w:t>
      </w:r>
      <w:r w:rsidR="006548E9">
        <w:t xml:space="preserve"> тем самым получить прибыль (P – 110) долларов. На рис. </w:t>
      </w:r>
      <w:r>
        <w:t>1 пре</w:t>
      </w:r>
      <w:r w:rsidR="006548E9">
        <w:t>дставлен выигрыш по этому колл-</w:t>
      </w:r>
      <w:r>
        <w:t xml:space="preserve">опциону. Выигрыш можно записать </w:t>
      </w:r>
      <w:r w:rsidR="00582942">
        <w:t xml:space="preserve">как формулу в </w:t>
      </w:r>
      <w:r w:rsidR="00582942">
        <w:rPr>
          <w:lang w:val="en-US"/>
        </w:rPr>
        <w:t>Excel</w:t>
      </w:r>
      <w:r>
        <w:t xml:space="preserve"> </w:t>
      </w:r>
      <w:r w:rsidR="00582942">
        <w:t>=МАКС(0;Р</w:t>
      </w:r>
      <w:r w:rsidR="00582942" w:rsidRPr="00582942">
        <w:t>-110)</w:t>
      </w:r>
      <w:r w:rsidR="00582942">
        <w:t xml:space="preserve">. Если Р </w:t>
      </w:r>
      <w:r w:rsidR="00582942">
        <w:rPr>
          <w:rFonts w:cstheme="minorHAnsi"/>
          <w:lang w:val="en-US"/>
        </w:rPr>
        <w:t>≤</w:t>
      </w:r>
      <w:r w:rsidR="00582942">
        <w:rPr>
          <w:lang w:val="en-US"/>
        </w:rPr>
        <w:t xml:space="preserve"> 110</w:t>
      </w:r>
      <w:r w:rsidR="00582942">
        <w:t>, говорят опцион не в деньгах.</w:t>
      </w:r>
    </w:p>
    <w:p w:rsidR="00582942" w:rsidRDefault="00C71161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24350" cy="2895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. Стоимость колл-опцио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582942" w:rsidP="00416DA7">
      <w:pPr>
        <w:spacing w:after="120" w:line="240" w:lineRule="auto"/>
      </w:pPr>
      <w:r>
        <w:t xml:space="preserve">Рис. </w:t>
      </w:r>
      <w:r w:rsidR="00416DA7">
        <w:t xml:space="preserve">1. </w:t>
      </w:r>
      <w:r>
        <w:t>Стоимость колл-опциона</w:t>
      </w:r>
    </w:p>
    <w:p w:rsidR="00416DA7" w:rsidRDefault="00582942" w:rsidP="00C71161">
      <w:pPr>
        <w:spacing w:after="120" w:line="240" w:lineRule="auto"/>
      </w:pPr>
      <w:r>
        <w:t>Ситуация с пут-</w:t>
      </w:r>
      <w:r w:rsidR="00416DA7">
        <w:t xml:space="preserve">опциона </w:t>
      </w:r>
      <w:r>
        <w:t>противоположна</w:t>
      </w:r>
      <w:r w:rsidR="00C71161">
        <w:t xml:space="preserve"> (рис. 2)</w:t>
      </w:r>
      <w:r>
        <w:t xml:space="preserve">. </w:t>
      </w:r>
      <w:r w:rsidR="00416DA7">
        <w:t xml:space="preserve">Выигрыш по пут-опциону составит </w:t>
      </w:r>
      <w:r w:rsidR="00C71161">
        <w:t>0 долларов, если P &gt; 110, и (</w:t>
      </w:r>
      <w:r w:rsidR="00416DA7">
        <w:t>110</w:t>
      </w:r>
      <w:r w:rsidR="00C71161">
        <w:t xml:space="preserve"> – Р</w:t>
      </w:r>
      <w:r w:rsidR="00416DA7">
        <w:t>) долларов, если P &lt; 110. Для значений P меньше 110 долларов владелец опциона может купить акцию за P долларов и немедленно продать ее за 110 долларов</w:t>
      </w:r>
      <w:r w:rsidR="000A1693">
        <w:t>, реализуя опцион</w:t>
      </w:r>
      <w:r w:rsidR="00416DA7">
        <w:t xml:space="preserve">. Это принесет прибыль (110 </w:t>
      </w:r>
      <w:r>
        <w:t>–</w:t>
      </w:r>
      <w:r w:rsidR="00416DA7">
        <w:t xml:space="preserve"> P) долларов. Если P больше 110 долларов, покупать акцию за P долларов и продавать за 110 долларов невыгодно, так что владелец не исполн</w:t>
      </w:r>
      <w:r w:rsidR="00C71161">
        <w:t>и</w:t>
      </w:r>
      <w:r w:rsidR="00416DA7">
        <w:t xml:space="preserve">т </w:t>
      </w:r>
      <w:r w:rsidR="00C71161">
        <w:t>пут-</w:t>
      </w:r>
      <w:r w:rsidR="00416DA7">
        <w:t>опцион.</w:t>
      </w:r>
      <w:r w:rsidR="00C71161">
        <w:t xml:space="preserve"> Формула в</w:t>
      </w:r>
      <w:r w:rsidR="00416DA7">
        <w:t>ыигрыш</w:t>
      </w:r>
      <w:r w:rsidR="00C71161">
        <w:t>а =МАКС(0;</w:t>
      </w:r>
      <w:r w:rsidR="00C71161" w:rsidRPr="00582942">
        <w:t>110</w:t>
      </w:r>
      <w:r w:rsidR="00C71161">
        <w:t>-Р</w:t>
      </w:r>
      <w:r w:rsidR="00C71161" w:rsidRPr="00582942">
        <w:t>)</w:t>
      </w:r>
      <w:r w:rsidR="00C71161">
        <w:t>.</w:t>
      </w:r>
    </w:p>
    <w:p w:rsidR="00416DA7" w:rsidRDefault="00C71161" w:rsidP="00416D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24350" cy="2895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2. Стоимость пут-опцио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C71161" w:rsidP="00416DA7">
      <w:pPr>
        <w:spacing w:after="120" w:line="240" w:lineRule="auto"/>
      </w:pPr>
      <w:r>
        <w:t xml:space="preserve">Рис. </w:t>
      </w:r>
      <w:r w:rsidR="00416DA7">
        <w:t xml:space="preserve">2. </w:t>
      </w:r>
      <w:r>
        <w:t>Стоимость пут-опциона</w:t>
      </w:r>
    </w:p>
    <w:p w:rsidR="00416DA7" w:rsidRDefault="000A1693" w:rsidP="000A1693">
      <w:pPr>
        <w:pStyle w:val="2"/>
      </w:pPr>
      <w:r>
        <w:t>П</w:t>
      </w:r>
      <w:r w:rsidR="00416DA7">
        <w:t>араметр</w:t>
      </w:r>
      <w:r>
        <w:t>ы,</w:t>
      </w:r>
      <w:r w:rsidR="00416DA7">
        <w:t xml:space="preserve"> определя</w:t>
      </w:r>
      <w:r>
        <w:t>ющие</w:t>
      </w:r>
      <w:r w:rsidR="00416DA7">
        <w:t xml:space="preserve"> цен</w:t>
      </w:r>
      <w:r>
        <w:t>у</w:t>
      </w:r>
      <w:r w:rsidR="00416DA7">
        <w:t xml:space="preserve"> опциона</w:t>
      </w:r>
    </w:p>
    <w:p w:rsidR="00416DA7" w:rsidRDefault="00416DA7" w:rsidP="000A1693">
      <w:pPr>
        <w:spacing w:after="0" w:line="240" w:lineRule="auto"/>
      </w:pPr>
      <w:r>
        <w:t xml:space="preserve">При создании модели ценообразования Блэк, Шоулз и Мертон показали, что цена опциона зависит от </w:t>
      </w:r>
      <w:r w:rsidR="000A1693">
        <w:t>следующих параметров: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Текущая цена акции</w:t>
      </w:r>
      <w:r w:rsidR="000A1693">
        <w:t xml:space="preserve"> (или иного актива)</w:t>
      </w:r>
      <w:r>
        <w:t>.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Цена исполнения опциона.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Время (в годах) до истечения срока действия опциона (называемое сроком опциона).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Процентная ставка (в год с учетом сложных процентов) на безрисковые инвестиции (как правило, в казначейские векселя) в течение всего срока инвестирования. Например, если трехмесячные казначейские векселя приносят 5% дохода, безрисковая ставка вычисляется как ln(1 + 0,05). (Взятие логарифма преобразует простую процентную ставку в ставку с учетом сложных процентов.) Сложные проценты означают, что в каждый момент времени проценты приносят проценты.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Годовая ставка (в процентах от курса акции), по которой выплачиваются дивиденды. Если акция приносит каждый год 2% своей стоимости в качестве дивидендов, норма дивидендов составляет 0,02.</w:t>
      </w:r>
    </w:p>
    <w:p w:rsidR="00416DA7" w:rsidRDefault="00416DA7" w:rsidP="000A1693">
      <w:pPr>
        <w:pStyle w:val="a8"/>
        <w:numPr>
          <w:ilvl w:val="0"/>
          <w:numId w:val="19"/>
        </w:numPr>
        <w:spacing w:after="120" w:line="240" w:lineRule="auto"/>
      </w:pPr>
      <w:r>
        <w:t>Волатильность акции (измеряемая в годовом исчислении). Годовая волатильность акции, например, 30% означает, что (приближенно) стандартное отклонение относительного годичного изменения курса акции составит примерно 30%. Во времена интернет-пузыря в конце 1990-х годов волатильность акций многих интернет-компаний превышала 100%. Этот важный параметр можно вычислить двумя способами.</w:t>
      </w:r>
    </w:p>
    <w:p w:rsidR="00416DA7" w:rsidRDefault="00416DA7" w:rsidP="00BC62A3">
      <w:pPr>
        <w:spacing w:after="120" w:line="240" w:lineRule="auto"/>
      </w:pPr>
      <w:r>
        <w:t>В формуле ценообразования Блэка</w:t>
      </w:r>
      <w:r w:rsidR="000A1693" w:rsidRPr="00BC62A3">
        <w:t>–</w:t>
      </w:r>
      <w:r>
        <w:t>Шоулза курс акции должен соответствовать логарифмич</w:t>
      </w:r>
      <w:r w:rsidR="00BC62A3">
        <w:t>ески нормальному распределению.</w:t>
      </w:r>
    </w:p>
    <w:p w:rsidR="00416DA7" w:rsidRDefault="00BC62A3" w:rsidP="00BC62A3">
      <w:pPr>
        <w:pStyle w:val="2"/>
      </w:pPr>
      <w:r>
        <w:t>О</w:t>
      </w:r>
      <w:r w:rsidR="00416DA7">
        <w:t>цен</w:t>
      </w:r>
      <w:r>
        <w:t>ка</w:t>
      </w:r>
      <w:r w:rsidR="00416DA7">
        <w:t xml:space="preserve"> волатильност</w:t>
      </w:r>
      <w:r>
        <w:t>и</w:t>
      </w:r>
      <w:r w:rsidR="00416DA7">
        <w:t xml:space="preserve"> акци</w:t>
      </w:r>
      <w:r>
        <w:t>и на основе исторических данных</w:t>
      </w:r>
    </w:p>
    <w:p w:rsidR="00416DA7" w:rsidRDefault="00416DA7" w:rsidP="00BC62A3">
      <w:pPr>
        <w:spacing w:after="0" w:line="240" w:lineRule="auto"/>
      </w:pPr>
      <w:r>
        <w:t xml:space="preserve">Для оценки </w:t>
      </w:r>
      <w:r w:rsidR="006E7794">
        <w:t xml:space="preserve">исторической </w:t>
      </w:r>
      <w:r>
        <w:t>волатильности акции необходимо выполнить следующие шаги:</w:t>
      </w:r>
    </w:p>
    <w:p w:rsidR="00416DA7" w:rsidRDefault="00416DA7" w:rsidP="00BC62A3">
      <w:pPr>
        <w:pStyle w:val="a8"/>
        <w:numPr>
          <w:ilvl w:val="0"/>
          <w:numId w:val="21"/>
        </w:numPr>
        <w:spacing w:after="120" w:line="240" w:lineRule="auto"/>
        <w:ind w:left="709" w:hanging="349"/>
      </w:pPr>
      <w:r>
        <w:t xml:space="preserve">Определить </w:t>
      </w:r>
      <w:r w:rsidR="006E7794">
        <w:t>прибыль (убыток)</w:t>
      </w:r>
      <w:r>
        <w:t xml:space="preserve"> по акции за несколько лет.</w:t>
      </w:r>
    </w:p>
    <w:p w:rsidR="00416DA7" w:rsidRDefault="00416DA7" w:rsidP="00BC62A3">
      <w:pPr>
        <w:pStyle w:val="a8"/>
        <w:numPr>
          <w:ilvl w:val="0"/>
          <w:numId w:val="21"/>
        </w:numPr>
        <w:spacing w:after="120" w:line="240" w:lineRule="auto"/>
        <w:ind w:left="709" w:hanging="349"/>
      </w:pPr>
      <w:r>
        <w:t xml:space="preserve">Определить для каждого месяца ln(1 + </w:t>
      </w:r>
      <w:r w:rsidR="006E7794">
        <w:t>прибыль</w:t>
      </w:r>
      <w:r>
        <w:t>).</w:t>
      </w:r>
    </w:p>
    <w:p w:rsidR="00416DA7" w:rsidRDefault="00416DA7" w:rsidP="00BC62A3">
      <w:pPr>
        <w:pStyle w:val="a8"/>
        <w:numPr>
          <w:ilvl w:val="0"/>
          <w:numId w:val="21"/>
        </w:numPr>
        <w:spacing w:after="120" w:line="240" w:lineRule="auto"/>
        <w:ind w:left="709" w:hanging="349"/>
      </w:pPr>
      <w:r>
        <w:t xml:space="preserve">Определить стандартное отклонение для ln(1 + </w:t>
      </w:r>
      <w:r w:rsidR="006E7794">
        <w:t>прибыль</w:t>
      </w:r>
      <w:r>
        <w:t>). Это вычисление дает ежемесячную волатильность.</w:t>
      </w:r>
    </w:p>
    <w:p w:rsidR="00416DA7" w:rsidRDefault="00416DA7" w:rsidP="00BC62A3">
      <w:pPr>
        <w:pStyle w:val="a8"/>
        <w:numPr>
          <w:ilvl w:val="0"/>
          <w:numId w:val="21"/>
        </w:numPr>
        <w:spacing w:after="120" w:line="240" w:lineRule="auto"/>
        <w:ind w:left="709" w:hanging="349"/>
      </w:pPr>
      <w:r>
        <w:t>Умножить е</w:t>
      </w:r>
      <w:r w:rsidR="00BC62A3">
        <w:t xml:space="preserve">жемесячную волатильность 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t xml:space="preserve"> для преобразования ежемесячной волатильности в годовую.</w:t>
      </w:r>
    </w:p>
    <w:p w:rsidR="00416DA7" w:rsidRDefault="006E7794" w:rsidP="006E7794">
      <w:pPr>
        <w:spacing w:after="120" w:line="240" w:lineRule="auto"/>
      </w:pPr>
      <w:r>
        <w:t xml:space="preserve">На рис. 3 приведены данные </w:t>
      </w:r>
      <w:r w:rsidR="00D03C82">
        <w:t>ежемесячной</w:t>
      </w:r>
      <w:r>
        <w:t xml:space="preserve"> стоимости акций</w:t>
      </w:r>
      <w:r w:rsidR="00416DA7">
        <w:t xml:space="preserve"> компании Dell </w:t>
      </w:r>
      <w:r>
        <w:t>за</w:t>
      </w:r>
      <w:r w:rsidR="00416DA7">
        <w:t xml:space="preserve"> период с </w:t>
      </w:r>
      <w:r>
        <w:t>августа 1988 г. по май 2001 г. Прибыль равна разности цен за две соседние даты.</w:t>
      </w:r>
      <w:r w:rsidR="00416DA7">
        <w:t xml:space="preserve"> </w:t>
      </w:r>
      <w:r>
        <w:t>Е</w:t>
      </w:r>
      <w:r w:rsidR="00416DA7">
        <w:t>жемесячн</w:t>
      </w:r>
      <w:r>
        <w:t xml:space="preserve">ая волатильность в ячейке Н3 определена по </w:t>
      </w:r>
      <w:r w:rsidR="00416DA7">
        <w:t xml:space="preserve">формуле </w:t>
      </w:r>
      <w:r w:rsidRPr="006E7794">
        <w:t>=СТАНДОТКЛОН.В(E2:E155)</w:t>
      </w:r>
      <w:r>
        <w:t xml:space="preserve">. </w:t>
      </w:r>
      <w:r w:rsidR="00A81171">
        <w:t>(</w:t>
      </w:r>
      <w:r>
        <w:t xml:space="preserve">Если вам интересно в чем различие между двумя формулами </w:t>
      </w:r>
      <w:r>
        <w:rPr>
          <w:lang w:val="en-US"/>
        </w:rPr>
        <w:t>Excel</w:t>
      </w:r>
      <w:r w:rsidR="00A81171">
        <w:t>:</w:t>
      </w:r>
      <w:r>
        <w:t xml:space="preserve"> </w:t>
      </w:r>
      <w:r w:rsidRPr="006E7794">
        <w:t>СТАНДОТКЛОН.В</w:t>
      </w:r>
      <w:r>
        <w:t xml:space="preserve"> и СТАНДОТКЛОН.Г</w:t>
      </w:r>
      <w:r w:rsidR="00A81171">
        <w:t>,</w:t>
      </w:r>
      <w:r>
        <w:t xml:space="preserve"> см. </w:t>
      </w:r>
      <w:hyperlink r:id="rId10" w:history="1">
        <w:r w:rsidRPr="00A81171">
          <w:rPr>
            <w:rStyle w:val="a3"/>
          </w:rPr>
          <w:t>здесь</w:t>
        </w:r>
      </w:hyperlink>
      <w:r>
        <w:t>.</w:t>
      </w:r>
      <w:r w:rsidR="00A81171">
        <w:t>)</w:t>
      </w:r>
      <w:r w:rsidRPr="006E7794">
        <w:t xml:space="preserve"> </w:t>
      </w:r>
      <w:r w:rsidR="00A81171">
        <w:t>В ячейке Н4 используется формула</w:t>
      </w:r>
      <w:r w:rsidR="00416DA7">
        <w:t xml:space="preserve"> </w:t>
      </w:r>
      <w:r w:rsidR="00A81171" w:rsidRPr="00A81171">
        <w:t>=КОРЕНЬ(12)*H3</w:t>
      </w:r>
      <w:r w:rsidR="00416DA7">
        <w:t>. Годовая волатильность акци</w:t>
      </w:r>
      <w:r w:rsidR="00A81171">
        <w:t>й</w:t>
      </w:r>
      <w:r w:rsidR="00416DA7">
        <w:t xml:space="preserve"> Dell составляет 57,8%. </w:t>
      </w:r>
    </w:p>
    <w:p w:rsidR="00416DA7" w:rsidRDefault="006E7794" w:rsidP="00416D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5297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Вычисление исторической волатильности стоимости акций De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6E7794" w:rsidP="00416DA7">
      <w:pPr>
        <w:spacing w:after="120" w:line="240" w:lineRule="auto"/>
      </w:pPr>
      <w:r>
        <w:t xml:space="preserve">Рис. </w:t>
      </w:r>
      <w:r w:rsidR="00416DA7">
        <w:t>3. Вычисление исторической волатильности стоимости акци</w:t>
      </w:r>
      <w:r>
        <w:t>й</w:t>
      </w:r>
      <w:r w:rsidR="00416DA7">
        <w:t xml:space="preserve"> Dell</w:t>
      </w:r>
    </w:p>
    <w:p w:rsidR="00416DA7" w:rsidRDefault="00A81171" w:rsidP="00A81171">
      <w:pPr>
        <w:pStyle w:val="2"/>
      </w:pPr>
      <w:r>
        <w:t>Ф</w:t>
      </w:r>
      <w:r w:rsidR="00416DA7">
        <w:t>ормулу Блэка</w:t>
      </w:r>
      <w:r>
        <w:t>–Шоулза в Excel</w:t>
      </w:r>
    </w:p>
    <w:p w:rsidR="00762C09" w:rsidRDefault="00762C09" w:rsidP="00416DA7">
      <w:pPr>
        <w:spacing w:after="120" w:line="240" w:lineRule="auto"/>
      </w:pPr>
      <w:r>
        <w:t>Цена европейского колл-опциона вычисляется по формуле:</w:t>
      </w:r>
    </w:p>
    <w:p w:rsidR="00762C09" w:rsidRPr="00762C09" w:rsidRDefault="00762C09" w:rsidP="00416DA7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C=</m:t>
          </m:r>
          <m:r>
            <w:rPr>
              <w:rFonts w:ascii="Cambria Math" w:hAnsi="Cambria Math"/>
              <w:lang w:val="en-US"/>
            </w:rPr>
            <m:t>S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–yt</m:t>
              </m:r>
            </m:sup>
          </m:sSup>
          <m:r>
            <w:rPr>
              <w:rFonts w:ascii="Cambria Math" w:hAnsi="Cambria Math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– 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–rt</m:t>
              </m:r>
            </m:sup>
          </m:sSup>
          <m:r>
            <w:rPr>
              <w:rFonts w:ascii="Cambria Math" w:hAnsi="Cambria Math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762C09" w:rsidRDefault="00762C09" w:rsidP="00762C09">
      <w:pPr>
        <w:spacing w:after="120" w:line="240" w:lineRule="auto"/>
      </w:pPr>
      <w:r>
        <w:t>Цена европейского пут-опциона:</w:t>
      </w:r>
    </w:p>
    <w:p w:rsidR="00762C09" w:rsidRPr="00762C09" w:rsidRDefault="00762C09" w:rsidP="00762C09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S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–yt</m:t>
              </m:r>
            </m:sup>
          </m:sSup>
          <m:r>
            <w:rPr>
              <w:rFonts w:ascii="Cambria Math" w:hAnsi="Cambria Math"/>
              <w:lang w:val="en-US"/>
            </w:rPr>
            <m:t>(N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–1) – X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–rt</m:t>
              </m:r>
            </m:sup>
          </m:sSup>
          <m:r>
            <w:rPr>
              <w:rFonts w:ascii="Cambria Math" w:hAnsi="Cambria Math"/>
              <w:lang w:val="en-US"/>
            </w:rPr>
            <m:t>(N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–1)</m:t>
          </m:r>
        </m:oMath>
      </m:oMathPara>
    </w:p>
    <w:p w:rsidR="00416DA7" w:rsidRDefault="00762C09" w:rsidP="00416DA7">
      <w:pPr>
        <w:spacing w:after="120" w:line="240" w:lineRule="auto"/>
      </w:pPr>
      <w:r>
        <w:t>Здесь</w:t>
      </w:r>
    </w:p>
    <w:p w:rsidR="00762C09" w:rsidRPr="00153592" w:rsidRDefault="00762C09" w:rsidP="00762C09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r –y+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func>
            </m:num>
            <m:den>
              <m:r>
                <w:rPr>
                  <w:rFonts w:ascii="Cambria Math" w:hAnsi="Cambria Math"/>
                  <w:lang w:val="en-US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rad>
            </m:den>
          </m:f>
        </m:oMath>
      </m:oMathPara>
    </w:p>
    <w:p w:rsidR="00153592" w:rsidRPr="00153592" w:rsidRDefault="00153592" w:rsidP="00762C09">
      <w:pPr>
        <w:spacing w:after="120" w:line="24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– σ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rad>
        </m:oMath>
      </m:oMathPara>
    </w:p>
    <w:p w:rsidR="00153592" w:rsidRDefault="00153592" w:rsidP="00416DA7">
      <w:pPr>
        <w:spacing w:after="120" w:line="240" w:lineRule="auto"/>
      </w:pPr>
      <w:r>
        <w:t xml:space="preserve">N(x) — вероятность того, что нормальная случайная величина со средним значением 0 и стандартным отклонением </w:t>
      </w:r>
      <w:r>
        <w:rPr>
          <w:rFonts w:cstheme="minorHAnsi"/>
        </w:rPr>
        <w:t>σ</w:t>
      </w:r>
      <w:r w:rsidRPr="00153592">
        <w:rPr>
          <w:rFonts w:cstheme="minorHAnsi"/>
        </w:rPr>
        <w:t>=</w:t>
      </w:r>
      <w:r>
        <w:t>1, меньше или равна x. Например, N(-1) = 0,16, N(0) = 0,5, N(1) = 0,84 и N(1,96) = 0,975. Нормальная случайная величина со средним значением 0 и стандартным отклонением 1 называется нормированной случайной величиной, распределенной по нормальному закону. Нормальное интегральное распределение в Microsoft Excel вычисляет функция НОРМ.СТ.РАСП. Формула =НОРМ.СТ.РАСП(x</w:t>
      </w:r>
      <w:r w:rsidRPr="00153592">
        <w:t>;ИСТИНА)</w:t>
      </w:r>
      <w:r>
        <w:t xml:space="preserve"> возвращает вероятность того, что нормированная случайная величина, распределенная по нормальному закону, меньше или равна х. Например, формула =НОРМ.СТ.РАСП(-1;ИСТИНА), дает в результате 0,16. Это значение показывает, что нормальная случайная величина со средним значением 0 и стандартным отклонением 1 с вероятностью 16% примет значение менее -1.</w:t>
      </w:r>
    </w:p>
    <w:p w:rsidR="00762C09" w:rsidRDefault="00762C09" w:rsidP="00762C09">
      <w:pPr>
        <w:spacing w:after="120" w:line="240" w:lineRule="auto"/>
      </w:pPr>
      <w:r>
        <w:t>S — текущий курс акции;</w:t>
      </w:r>
      <w:r w:rsidR="004A1130" w:rsidRPr="004A1130">
        <w:t xml:space="preserve"> </w:t>
      </w:r>
      <w:r>
        <w:t>t — срок опциона (в годах);</w:t>
      </w:r>
      <w:r w:rsidR="004A1130" w:rsidRPr="004A1130">
        <w:t xml:space="preserve"> </w:t>
      </w:r>
      <w:r>
        <w:t>X — цена исполнения;</w:t>
      </w:r>
      <w:r w:rsidR="004A1130" w:rsidRPr="004A1130">
        <w:t xml:space="preserve"> </w:t>
      </w:r>
      <w:r>
        <w:t>r — годовая безрисковая ставка (предполагает</w:t>
      </w:r>
      <w:r w:rsidR="004A1130">
        <w:t>ся, что эта ставка постоянно вы</w:t>
      </w:r>
      <w:r>
        <w:t>числяется с учетом сложных процентов);</w:t>
      </w:r>
      <w:r w:rsidR="004A1130" w:rsidRPr="004A1130">
        <w:t xml:space="preserve"> </w:t>
      </w:r>
      <w:r w:rsidR="004A1130">
        <w:rPr>
          <w:rFonts w:cstheme="minorHAnsi"/>
        </w:rPr>
        <w:t>σ</w:t>
      </w:r>
      <w:r>
        <w:t xml:space="preserve"> — годовая волатильность акции;</w:t>
      </w:r>
      <w:r w:rsidR="004A1130" w:rsidRPr="004A1130">
        <w:t xml:space="preserve"> </w:t>
      </w:r>
      <w:r>
        <w:t>y — процент от стоимости акции, выплачиваемый в качестве дивидендов.</w:t>
      </w:r>
    </w:p>
    <w:p w:rsidR="00416DA7" w:rsidRDefault="004A1130" w:rsidP="00416DA7">
      <w:pPr>
        <w:spacing w:after="120" w:line="240" w:lineRule="auto"/>
      </w:pPr>
      <w:r>
        <w:t xml:space="preserve">На </w:t>
      </w:r>
      <w:r w:rsidR="00416DA7">
        <w:t xml:space="preserve">рис. </w:t>
      </w:r>
      <w:r>
        <w:t>4</w:t>
      </w:r>
      <w:r w:rsidR="00416DA7">
        <w:t xml:space="preserve"> находится шаблон, который вычисляет цену для европейских колл- и пут-опционов. Введите значения параметров в </w:t>
      </w:r>
      <w:r>
        <w:t xml:space="preserve">ячейки </w:t>
      </w:r>
      <w:r w:rsidR="00541CDA">
        <w:t>С</w:t>
      </w:r>
      <w:r w:rsidR="00416DA7">
        <w:t>5:</w:t>
      </w:r>
      <w:r w:rsidR="00541CDA">
        <w:t>С</w:t>
      </w:r>
      <w:r w:rsidR="00416DA7">
        <w:t xml:space="preserve">10 и получите цену европейского колл-опциона в </w:t>
      </w:r>
      <w:r w:rsidR="00541CDA">
        <w:t>С</w:t>
      </w:r>
      <w:r w:rsidR="00416DA7">
        <w:t xml:space="preserve">13, а цену европейского пут-опциона в </w:t>
      </w:r>
      <w:r w:rsidR="00541CDA">
        <w:t>С</w:t>
      </w:r>
      <w:r w:rsidR="00416DA7">
        <w:t>14.</w:t>
      </w:r>
      <w:r w:rsidR="00541CDA">
        <w:t xml:space="preserve"> В качестве примера предположим, что акция Cisco сегодня продается за 20 долларов и вы выпустили семилетний европейский колл-опцион. Пусть годовая волатильность акции Cisco равна 50%, и безрисковая ставка в течение семилетнего периода исчисляется исходя из 5% в год. С учетом сложных процентов она преобразуется в ln(1+0,05) = 0,0488. Компания Cisco не выплачивает дивиденды, так что годовая норма дивидендов равна 0. Цена колл-</w:t>
      </w:r>
      <w:r w:rsidR="00541CDA">
        <w:lastRenderedPageBreak/>
        <w:t>опциона составляет 10,64 долл. Семилетний пут-опцион с ценой исполнения 24 доллара будет стоить 7,69 долларов.</w:t>
      </w:r>
    </w:p>
    <w:p w:rsidR="00416DA7" w:rsidRDefault="00541CDA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86325" cy="3314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. Определение цены европейских колл- и пут-опцион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4A1130" w:rsidP="00416DA7">
      <w:pPr>
        <w:spacing w:after="120" w:line="240" w:lineRule="auto"/>
      </w:pPr>
      <w:r>
        <w:t xml:space="preserve">Рис. </w:t>
      </w:r>
      <w:r w:rsidR="00416DA7">
        <w:t>4. Определение цены европейских колл- и пут-опционов</w:t>
      </w:r>
    </w:p>
    <w:p w:rsidR="0085608C" w:rsidRDefault="0085608C" w:rsidP="0085608C">
      <w:pPr>
        <w:pStyle w:val="2"/>
      </w:pPr>
      <w:r>
        <w:t>Чувствительность стоимости опционов к росту основных параметров</w:t>
      </w:r>
    </w:p>
    <w:p w:rsidR="00416DA7" w:rsidRDefault="00416DA7" w:rsidP="00416DA7">
      <w:pPr>
        <w:spacing w:after="120" w:line="240" w:lineRule="auto"/>
      </w:pPr>
      <w:r>
        <w:t>Как правило, влияние изменения входн</w:t>
      </w:r>
      <w:r w:rsidR="0085608C">
        <w:t>ых</w:t>
      </w:r>
      <w:r>
        <w:t xml:space="preserve"> параметра на цену колл- или пут- опциона соответствует указанному </w:t>
      </w:r>
      <w:r w:rsidR="0085608C">
        <w:t>на рис. 5.</w:t>
      </w:r>
    </w:p>
    <w:p w:rsidR="00416DA7" w:rsidRDefault="0085608C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5297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5. Влияние роста входных параметров на стоимость опцион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8C" w:rsidRDefault="0085608C" w:rsidP="00416DA7">
      <w:pPr>
        <w:spacing w:after="120" w:line="240" w:lineRule="auto"/>
      </w:pPr>
      <w:r>
        <w:t xml:space="preserve">Рис. 5. Влияние </w:t>
      </w:r>
      <w:r w:rsidRPr="00251B07">
        <w:rPr>
          <w:i/>
        </w:rPr>
        <w:t>роста</w:t>
      </w:r>
      <w:r>
        <w:t xml:space="preserve"> входных параметров на стоимость опционов</w:t>
      </w:r>
    </w:p>
    <w:p w:rsidR="00416DA7" w:rsidRDefault="00416DA7" w:rsidP="00416DA7">
      <w:pPr>
        <w:spacing w:after="120" w:line="240" w:lineRule="auto"/>
      </w:pPr>
      <w:r>
        <w:t>Повышение сегодняшнего курса акции всегда повышает цену колл-опциона и снижает цену пут-опциона.</w:t>
      </w:r>
    </w:p>
    <w:p w:rsidR="00416DA7" w:rsidRDefault="00416DA7" w:rsidP="00416DA7">
      <w:pPr>
        <w:spacing w:after="120" w:line="240" w:lineRule="auto"/>
      </w:pPr>
      <w:r>
        <w:t>Повышение цены исполнения всегда повышает цену пут-опциона и снижает цену колл-опциона.</w:t>
      </w:r>
    </w:p>
    <w:p w:rsidR="00416DA7" w:rsidRDefault="00416DA7" w:rsidP="00416DA7">
      <w:pPr>
        <w:spacing w:after="120" w:line="240" w:lineRule="auto"/>
      </w:pPr>
      <w:r>
        <w:t>Увеличение срока опциона всегда повыш</w:t>
      </w:r>
      <w:r w:rsidR="00251B07">
        <w:t xml:space="preserve">ает цену американского опциона. </w:t>
      </w:r>
      <w:r>
        <w:t>В случае выплаты дивидендов увеличение срока опциона может или повысить, или понизить цену европейского опциона.</w:t>
      </w:r>
    </w:p>
    <w:p w:rsidR="00416DA7" w:rsidRDefault="00416DA7" w:rsidP="00416DA7">
      <w:pPr>
        <w:spacing w:after="120" w:line="240" w:lineRule="auto"/>
      </w:pPr>
      <w:r>
        <w:t>Увеличение волатильности всегда повышает цену опциона.</w:t>
      </w:r>
    </w:p>
    <w:p w:rsidR="00416DA7" w:rsidRDefault="00416DA7" w:rsidP="00416DA7">
      <w:pPr>
        <w:spacing w:after="120" w:line="240" w:lineRule="auto"/>
      </w:pPr>
      <w:r>
        <w:t>Повышение безрисковой ставки повышает цену колл-опциона, поскольку более высокие ставки имеют тенденцию к увеличению темпов роста курса акции (что хорошо для колл-опциона). Эта ситуация отменяет тот факт, что в результате более высокой процентной ставки выигрыш по опциону уменьшается. Повышение безрисковой ставки всегда понижает цену пут-опциона, поскольку более высокие темпы роста курса акции, как правило, наносят ущерб пут-опциону, и будущий выигрыш по пут-опциону уменьшается. Как и в предыдущем случае, при этом предполагается, что процентные ставки не влияют на текущие курсы акций, однако это не так.</w:t>
      </w:r>
    </w:p>
    <w:p w:rsidR="00416DA7" w:rsidRDefault="00416DA7" w:rsidP="00416DA7">
      <w:pPr>
        <w:spacing w:after="120" w:line="240" w:lineRule="auto"/>
      </w:pPr>
      <w:r>
        <w:t>Дивиденды, как правило, снижают темпы роста курса акции, поэтому увеличенные дивиденды снижают цену колл-опциона и повышают цену пут-опциона.</w:t>
      </w:r>
    </w:p>
    <w:p w:rsidR="00416DA7" w:rsidRDefault="00416DA7" w:rsidP="00416DA7">
      <w:pPr>
        <w:spacing w:after="120" w:line="240" w:lineRule="auto"/>
      </w:pPr>
      <w:r>
        <w:lastRenderedPageBreak/>
        <w:t>Конкретное влияние изменения параметров на ц</w:t>
      </w:r>
      <w:r w:rsidR="00251B07">
        <w:t xml:space="preserve">ену колл- и пут-опционов </w:t>
      </w:r>
      <w:r>
        <w:t xml:space="preserve">можно исследовать с помощью таблицы данных </w:t>
      </w:r>
      <w:r w:rsidR="00251B07">
        <w:t xml:space="preserve">(рис. 6), см. также </w:t>
      </w:r>
      <w:hyperlink r:id="rId14" w:history="1">
        <w:r w:rsidR="00251B07" w:rsidRPr="00251B07">
          <w:rPr>
            <w:rStyle w:val="a3"/>
          </w:rPr>
          <w:t>Анализ чувствительности в Excel (анализ «что–если», таблицы данных)</w:t>
        </w:r>
      </w:hyperlink>
      <w:r w:rsidR="00251B07">
        <w:t>.</w:t>
      </w:r>
    </w:p>
    <w:p w:rsidR="00251B07" w:rsidRDefault="00C52CCD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43400" cy="2752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6. Анализ чувствительности опционов от волатиль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B07" w:rsidRDefault="00251B07" w:rsidP="00416DA7">
      <w:pPr>
        <w:spacing w:after="120" w:line="240" w:lineRule="auto"/>
      </w:pPr>
      <w:r>
        <w:t>Рис. 6. Анализ чувствительности опционов от волатильности</w:t>
      </w:r>
    </w:p>
    <w:p w:rsidR="00416DA7" w:rsidRDefault="00C52CCD" w:rsidP="00C52CCD">
      <w:pPr>
        <w:pStyle w:val="2"/>
      </w:pPr>
      <w:r>
        <w:t>О</w:t>
      </w:r>
      <w:r w:rsidR="00416DA7">
        <w:t>цен</w:t>
      </w:r>
      <w:r>
        <w:t>ка</w:t>
      </w:r>
      <w:r w:rsidR="00416DA7">
        <w:t xml:space="preserve"> волатильност</w:t>
      </w:r>
      <w:r>
        <w:t>и</w:t>
      </w:r>
      <w:r w:rsidR="00416DA7">
        <w:t xml:space="preserve"> акции по формуле Блэка</w:t>
      </w:r>
      <w:r>
        <w:t>–Шоулза</w:t>
      </w:r>
    </w:p>
    <w:p w:rsidR="00416DA7" w:rsidRDefault="00E942D0" w:rsidP="00416DA7">
      <w:pPr>
        <w:spacing w:after="120" w:line="240" w:lineRule="auto"/>
      </w:pPr>
      <w:r>
        <w:t>Выше</w:t>
      </w:r>
      <w:r w:rsidR="00416DA7">
        <w:t xml:space="preserve"> было показано, как на основе</w:t>
      </w:r>
      <w:r w:rsidR="00C52CCD">
        <w:t xml:space="preserve"> исторических данных оценить го</w:t>
      </w:r>
      <w:r w:rsidR="00416DA7">
        <w:t>довую волатильность акци</w:t>
      </w:r>
      <w:r>
        <w:t>й</w:t>
      </w:r>
      <w:r w:rsidR="00416DA7">
        <w:t>. Проблема с оценко</w:t>
      </w:r>
      <w:r>
        <w:t>й исторической волатильности со</w:t>
      </w:r>
      <w:r w:rsidR="00416DA7">
        <w:t>стоит в том, что анализ выполняется на основе прошлого. А в действительности требуется оценить волатильность акци</w:t>
      </w:r>
      <w:r>
        <w:t>й</w:t>
      </w:r>
      <w:r w:rsidR="00416DA7">
        <w:t xml:space="preserve"> на основе ожиданий. Подход на основе подразумеваемой волатильности просто оценивает волатильность акции как значение волатильности, при котором цена по формуле Блэка</w:t>
      </w:r>
      <w:r>
        <w:t>–</w:t>
      </w:r>
      <w:r w:rsidR="00416DA7">
        <w:t>Шоулза соответствует рыночной цене опциона. Иными словами, подразумеваемая волатильность получает значение волатильности, вытекающее из рыночной цены опциона.</w:t>
      </w:r>
    </w:p>
    <w:p w:rsidR="00416DA7" w:rsidRDefault="00416DA7" w:rsidP="00416DA7">
      <w:pPr>
        <w:spacing w:after="120" w:line="240" w:lineRule="auto"/>
      </w:pPr>
      <w:r>
        <w:t>Для вычисления подразумеваемой волатильнос</w:t>
      </w:r>
      <w:r w:rsidR="00E942D0">
        <w:t>ти можно воспользоваться инстру</w:t>
      </w:r>
      <w:r>
        <w:t xml:space="preserve">ментом </w:t>
      </w:r>
      <w:r w:rsidRPr="00E942D0">
        <w:rPr>
          <w:i/>
        </w:rPr>
        <w:t>Подбор параметра</w:t>
      </w:r>
      <w:r>
        <w:t xml:space="preserve"> </w:t>
      </w:r>
      <w:r w:rsidR="00E942D0">
        <w:t>и</w:t>
      </w:r>
      <w:r>
        <w:t xml:space="preserve"> описанными ранее входными параметрами</w:t>
      </w:r>
      <w:r w:rsidR="00E942D0">
        <w:t xml:space="preserve"> (см. рис. 4)</w:t>
      </w:r>
      <w:r>
        <w:t>. 22 июля 2003 г. акция Cisco продавалась за 18,43 долларов. В октябре 2003 г. колл-опцион с ценой исполнения 17,50 долларов продавался за 1,85 долларов. Срок действия этого опциона истекал 18 октября (через</w:t>
      </w:r>
      <w:r w:rsidR="00A90155">
        <w:t xml:space="preserve"> 89 дней в будущем). Таким обра</w:t>
      </w:r>
      <w:r>
        <w:t xml:space="preserve">зом, срок действия опциона составляет 89/365 = 0,2438 лет. Предположительно, Cisco не выплачивает дивиденды. Пусть ставка для казначейских векселей составляет 5%, и соответствующая безрисковая ставка равна ln(1 + 0,05) = 0,04879. Для определения волатильности акции Cisco, которая подразумевается ценой опциона, введите в ячейки B5:B10 </w:t>
      </w:r>
      <w:r w:rsidR="00A90155">
        <w:t xml:space="preserve">(рис. 7) </w:t>
      </w:r>
      <w:r>
        <w:t xml:space="preserve">релевантные параметры. </w:t>
      </w:r>
    </w:p>
    <w:p w:rsidR="00A90155" w:rsidRDefault="00A90155" w:rsidP="00416DA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848225" cy="3295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Вычисление волатильности акции Cisco согласно подразумеваемой волатильност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A90155" w:rsidP="00416DA7">
      <w:pPr>
        <w:spacing w:after="120" w:line="240" w:lineRule="auto"/>
      </w:pPr>
      <w:r>
        <w:t>Рис. 7</w:t>
      </w:r>
      <w:r w:rsidR="00416DA7">
        <w:t>. Вычисление волатильности акции Cisco согласно подразумеваемой волатильности</w:t>
      </w:r>
    </w:p>
    <w:p w:rsidR="00416DA7" w:rsidRDefault="00416DA7" w:rsidP="00416DA7">
      <w:pPr>
        <w:spacing w:after="120" w:line="240" w:lineRule="auto"/>
      </w:pPr>
      <w:r>
        <w:t xml:space="preserve">Далее в диалоговом окне </w:t>
      </w:r>
      <w:r w:rsidRPr="00A90155">
        <w:rPr>
          <w:i/>
        </w:rPr>
        <w:t>Подбор параметра</w:t>
      </w:r>
      <w:r>
        <w:t xml:space="preserve"> (</w:t>
      </w:r>
      <w:r w:rsidR="00A90155">
        <w:t xml:space="preserve">Меню </w:t>
      </w:r>
      <w:r w:rsidR="00A90155" w:rsidRPr="00A90155">
        <w:rPr>
          <w:i/>
        </w:rPr>
        <w:t>Данные</w:t>
      </w:r>
      <w:r w:rsidR="00A90155">
        <w:t xml:space="preserve"> –</w:t>
      </w:r>
      <w:r w:rsidR="00A90155" w:rsidRPr="00A90155">
        <w:t>&gt;</w:t>
      </w:r>
      <w:r w:rsidR="00A90155">
        <w:t xml:space="preserve"> </w:t>
      </w:r>
      <w:r w:rsidR="00A90155" w:rsidRPr="00A90155">
        <w:rPr>
          <w:i/>
        </w:rPr>
        <w:t>Анализ "что-если"</w:t>
      </w:r>
      <w:r w:rsidR="00A90155">
        <w:t xml:space="preserve">), показанном на рис. </w:t>
      </w:r>
      <w:r>
        <w:t>8, определите волатильность (значение в ячейке B10)</w:t>
      </w:r>
      <w:r w:rsidR="00A90155">
        <w:t>, при которой цена опциона (формула в С</w:t>
      </w:r>
      <w:r>
        <w:t>13) достигает значения 1,85 долларов.</w:t>
      </w:r>
    </w:p>
    <w:p w:rsidR="00416DA7" w:rsidRDefault="00416DA7" w:rsidP="00416DA7">
      <w:pPr>
        <w:spacing w:after="120" w:line="240" w:lineRule="auto"/>
      </w:pPr>
      <w:r>
        <w:t>Как показано на рис. 7, этот опцион подразумевает годовую волатильность для Cisco в размере 34%.</w:t>
      </w:r>
    </w:p>
    <w:p w:rsidR="00416DA7" w:rsidRDefault="00A90155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71750" cy="135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8. Настройки в диалоговом окне Подбор параметр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A7" w:rsidRDefault="00A90155" w:rsidP="00416DA7">
      <w:pPr>
        <w:spacing w:after="120" w:line="240" w:lineRule="auto"/>
      </w:pPr>
      <w:r>
        <w:t xml:space="preserve">Рис. </w:t>
      </w:r>
      <w:r w:rsidR="00416DA7">
        <w:t xml:space="preserve">8. Настройки в диалоговом окне </w:t>
      </w:r>
      <w:r w:rsidR="00416DA7" w:rsidRPr="00A90155">
        <w:rPr>
          <w:i/>
        </w:rPr>
        <w:t>Подбор параметра</w:t>
      </w:r>
    </w:p>
    <w:p w:rsidR="00416DA7" w:rsidRDefault="00416DA7" w:rsidP="00416DA7">
      <w:pPr>
        <w:spacing w:after="120" w:line="240" w:lineRule="auto"/>
      </w:pPr>
      <w:r>
        <w:t xml:space="preserve">На сайте </w:t>
      </w:r>
      <w:hyperlink r:id="rId18" w:history="1">
        <w:r w:rsidR="00A90155" w:rsidRPr="00A90155">
          <w:rPr>
            <w:rStyle w:val="a3"/>
          </w:rPr>
          <w:t>http://www.ivolatility.com/</w:t>
        </w:r>
      </w:hyperlink>
      <w:r w:rsidR="00A90155" w:rsidRPr="00A90155">
        <w:t xml:space="preserve"> </w:t>
      </w:r>
      <w:r w:rsidR="00A90155">
        <w:t xml:space="preserve">и </w:t>
      </w:r>
      <w:hyperlink r:id="rId19" w:history="1">
        <w:r w:rsidR="00A90155" w:rsidRPr="00FA683C">
          <w:rPr>
            <w:rStyle w:val="a3"/>
          </w:rPr>
          <w:t>http://www.ivolatility.ru/</w:t>
        </w:r>
      </w:hyperlink>
      <w:r w:rsidR="00A90155">
        <w:t xml:space="preserve"> </w:t>
      </w:r>
      <w:r>
        <w:t>предоставляются оценки волатильности любой акции, как исторические, так и подразумеваемые.</w:t>
      </w:r>
    </w:p>
    <w:p w:rsidR="00416DA7" w:rsidRPr="001D6BD7" w:rsidRDefault="00A90155" w:rsidP="00A90155">
      <w:pPr>
        <w:pStyle w:val="2"/>
        <w:rPr>
          <w:lang w:val="en-US"/>
        </w:rPr>
      </w:pPr>
      <w:r>
        <w:t>Реальные опционы</w:t>
      </w:r>
    </w:p>
    <w:p w:rsidR="00416DA7" w:rsidRPr="001D6BD7" w:rsidRDefault="00416DA7" w:rsidP="00416DA7">
      <w:pPr>
        <w:spacing w:after="120" w:line="240" w:lineRule="auto"/>
      </w:pPr>
      <w:r>
        <w:t>Ценообразование опционов может повлиять н</w:t>
      </w:r>
      <w:r w:rsidR="00A90155">
        <w:t>а повышение эффективности долго</w:t>
      </w:r>
      <w:r>
        <w:t>срочных инвестиций компании или на процесс п</w:t>
      </w:r>
      <w:r w:rsidR="001D6BD7">
        <w:t>ринятия финансовых решений. Ис</w:t>
      </w:r>
      <w:r>
        <w:t>пользование ценообразования опционов для оценки фактических инвестиционных проектов называется реальными опционами. Идею реальных оп</w:t>
      </w:r>
      <w:r w:rsidR="001D6BD7">
        <w:t>ционов приписывают Джуди Левен</w:t>
      </w:r>
      <w:r>
        <w:t>, в прошлом финансовому директору компании Merck. По существу, реальные опционы позволяют назначить явную цену для управленческой гибкости, которую часто упускают из вида при традиционном составлении</w:t>
      </w:r>
      <w:r w:rsidR="001D6BD7">
        <w:t xml:space="preserve"> плана долгосрочных инвестиций.</w:t>
      </w:r>
      <w:r w:rsidR="001D6BD7" w:rsidRPr="001D6BD7">
        <w:t xml:space="preserve"> </w:t>
      </w:r>
      <w:r w:rsidR="001D6BD7">
        <w:t>Рассмотрим два примера.</w:t>
      </w:r>
    </w:p>
    <w:p w:rsidR="00416DA7" w:rsidRDefault="00416DA7" w:rsidP="00416DA7">
      <w:pPr>
        <w:spacing w:after="120" w:line="240" w:lineRule="auto"/>
      </w:pPr>
      <w:r>
        <w:t>Пусть вы являетесь владельцем нефтяной скважин</w:t>
      </w:r>
      <w:r w:rsidR="001D6BD7">
        <w:t>ы. Сегодня наиболее правдопо</w:t>
      </w:r>
      <w:r>
        <w:t>добное предположение о стоимости нефти в скважине — 50 млн</w:t>
      </w:r>
      <w:r w:rsidR="001D6BD7">
        <w:t>.</w:t>
      </w:r>
      <w:r>
        <w:t xml:space="preserve"> долларов. Через 5 лет (оставаясь владельцем скважины) вам предстоит принять решение о разработке нефтяной скважины, которая обойдется вам в 70 млн</w:t>
      </w:r>
      <w:r w:rsidR="001D6BD7">
        <w:t>.</w:t>
      </w:r>
      <w:r>
        <w:t xml:space="preserve"> долларов. Бизнесмен с сомнительной репутацией готов купить скважину сегодня за 10 млн</w:t>
      </w:r>
      <w:r w:rsidR="001D6BD7">
        <w:t>.</w:t>
      </w:r>
      <w:r>
        <w:t xml:space="preserve"> долларов. Следует ли продать скважину?</w:t>
      </w:r>
    </w:p>
    <w:p w:rsidR="00416DA7" w:rsidRDefault="00416DA7" w:rsidP="00416DA7">
      <w:pPr>
        <w:spacing w:after="120" w:line="240" w:lineRule="auto"/>
      </w:pPr>
      <w:r>
        <w:t>Безусловно, цена нефти через 5 лет может вырасти. Даже если предположить, что цена нефти будет расти на 5% в год, через 5 лет н</w:t>
      </w:r>
      <w:r w:rsidR="001D6BD7">
        <w:t>ефть будет стоить 63,81 млн дол</w:t>
      </w:r>
      <w:r>
        <w:t xml:space="preserve">ларов. Традиционный план долгосрочного инвестирования предполагает, что нефть обесценится, поскольку стоимость ее </w:t>
      </w:r>
      <w:r>
        <w:lastRenderedPageBreak/>
        <w:t>разработки превышает стоимость нефти в скважине. Но не торопитесь — через 5 лет цена не</w:t>
      </w:r>
      <w:r w:rsidR="001D6BD7">
        <w:t>фти в скважине будет другой, т.</w:t>
      </w:r>
      <w:r>
        <w:t>к. многие вещи (такие как мировая цена на нефть) могут измениться. Существует вероятность, что через 5 лет нефть будет стоить не меньше 70 млн</w:t>
      </w:r>
      <w:r w:rsidR="001D6BD7">
        <w:t>.</w:t>
      </w:r>
      <w:r>
        <w:t xml:space="preserve"> долларов. Если через 5 лет нефть будет стоить 80 млн</w:t>
      </w:r>
      <w:r w:rsidR="001D6BD7">
        <w:t>.</w:t>
      </w:r>
      <w:r>
        <w:t xml:space="preserve"> долларов, разработка скважины через пять лет принесет 10 млн долларов.</w:t>
      </w:r>
    </w:p>
    <w:p w:rsidR="00416DA7" w:rsidRDefault="00416DA7" w:rsidP="00416DA7">
      <w:pPr>
        <w:spacing w:after="120" w:line="240" w:lineRule="auto"/>
      </w:pPr>
      <w:r>
        <w:t>По сути, вы владеете пятилетним европейским ко</w:t>
      </w:r>
      <w:r w:rsidR="001D6BD7">
        <w:t>лл-опционом на эту скважину, т.</w:t>
      </w:r>
      <w:r>
        <w:t>к. выигрыш от скважины через 5 лет такой же, как выигрыш по европейскому колл-опциону с курсом акции 50 млн</w:t>
      </w:r>
      <w:r w:rsidR="001D6BD7">
        <w:t>.</w:t>
      </w:r>
      <w:r>
        <w:t xml:space="preserve"> долларов, ценой исполнения 70 млн</w:t>
      </w:r>
      <w:r w:rsidR="001D6BD7">
        <w:t>.</w:t>
      </w:r>
      <w:r>
        <w:t xml:space="preserve"> долларов и сроком опциона 5 лет. Можно предположить, что годовая волатильность подобна волатильности акции типичной нефтяной компан</w:t>
      </w:r>
      <w:r w:rsidR="001D6BD7">
        <w:t>ии (например, 30%). Если исполь</w:t>
      </w:r>
      <w:r>
        <w:t xml:space="preserve">зовать </w:t>
      </w:r>
      <w:r w:rsidR="001D6BD7">
        <w:t>безрисковую</w:t>
      </w:r>
      <w:r>
        <w:t xml:space="preserve"> ставк</w:t>
      </w:r>
      <w:r w:rsidR="001D6BD7">
        <w:t xml:space="preserve">у 4,879%, </w:t>
      </w:r>
      <w:r>
        <w:t>можно определить, что цена такого колл- опциона составляет 11,47 млн</w:t>
      </w:r>
      <w:r w:rsidR="001D6BD7">
        <w:t>.</w:t>
      </w:r>
      <w:r>
        <w:t xml:space="preserve"> долларов</w:t>
      </w:r>
      <w:r w:rsidR="001D6BD7">
        <w:t xml:space="preserve"> (рис. 9)</w:t>
      </w:r>
      <w:r>
        <w:t>. Из этог</w:t>
      </w:r>
      <w:r w:rsidR="001D6BD7">
        <w:t>о следует, что вы не должны про</w:t>
      </w:r>
      <w:r>
        <w:t>давать скважину за 10 млн</w:t>
      </w:r>
      <w:r w:rsidR="001D6BD7">
        <w:t>.</w:t>
      </w:r>
      <w:r>
        <w:t xml:space="preserve"> долларов.</w:t>
      </w:r>
    </w:p>
    <w:p w:rsidR="001D6BD7" w:rsidRDefault="00A50F42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76825" cy="395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9. Реальный опцион на нефтяную скважину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D7" w:rsidRDefault="001D6BD7" w:rsidP="00416DA7">
      <w:pPr>
        <w:spacing w:after="120" w:line="240" w:lineRule="auto"/>
      </w:pPr>
      <w:r>
        <w:t>Рис. 9. Реальный опцион на нефтяную скважину</w:t>
      </w:r>
    </w:p>
    <w:p w:rsidR="00416DA7" w:rsidRDefault="00416DA7" w:rsidP="00416DA7">
      <w:pPr>
        <w:spacing w:after="120" w:line="240" w:lineRule="auto"/>
      </w:pPr>
      <w:r>
        <w:t>Конечно, фактическая волатильность для этой нефтяной скважины неизвестна. По этой причине с помощью таблицы данных с одни</w:t>
      </w:r>
      <w:r w:rsidR="00A50F42">
        <w:t>м входом определим, как цена оп</w:t>
      </w:r>
      <w:r>
        <w:t>циона зависит от оц</w:t>
      </w:r>
      <w:r w:rsidR="00A50F42">
        <w:t xml:space="preserve">енки волатильности (см. рис. </w:t>
      </w:r>
      <w:r>
        <w:t>9). Как видно из таблицы, пока волатильность скважины составляет, по меньшей мере, 27%, опцион на нефтяную скважину стоит более 10 млн</w:t>
      </w:r>
      <w:r w:rsidR="00A50F42">
        <w:t>.</w:t>
      </w:r>
      <w:r>
        <w:t xml:space="preserve"> долларов.</w:t>
      </w:r>
    </w:p>
    <w:p w:rsidR="00416DA7" w:rsidRDefault="00416DA7" w:rsidP="00416DA7">
      <w:pPr>
        <w:spacing w:after="120" w:line="240" w:lineRule="auto"/>
      </w:pPr>
      <w:r>
        <w:t xml:space="preserve">В качестве второго примера рассмотрим биотехнологическую компанию </w:t>
      </w:r>
      <w:r w:rsidR="00A50F42">
        <w:t>по произ</w:t>
      </w:r>
      <w:r>
        <w:t>водству лекарств, разрабатывающую лекарственный препарат для фармацевтической фирмы. В биотехнологической компании в настоящее время предполагают, что цена разрабатываемого препарата составляет 50 млн</w:t>
      </w:r>
      <w:r w:rsidR="00A50F42">
        <w:t>.</w:t>
      </w:r>
      <w:r>
        <w:t xml:space="preserve"> долларов. Безусловно, цена лекарственного препарата со временем может понизиться. Для защиты от резкого падения цены биотехнологической компании требуется, чтобы препарат через 5 лет имел гарантированную цену 50 млн</w:t>
      </w:r>
      <w:r w:rsidR="00A50F42">
        <w:t>.</w:t>
      </w:r>
      <w:r>
        <w:t xml:space="preserve"> долларов. Если страховая компания собирается подписать такое обязательство, какая справедливая цена должна быть назначена? </w:t>
      </w:r>
    </w:p>
    <w:p w:rsidR="00416DA7" w:rsidRDefault="00416DA7" w:rsidP="00416DA7">
      <w:pPr>
        <w:spacing w:after="120" w:line="240" w:lineRule="auto"/>
      </w:pPr>
      <w:r>
        <w:t>По существу, биотехнологическая компания запрашивает платеж в 1 млн</w:t>
      </w:r>
      <w:r w:rsidR="00A50F42">
        <w:t>.</w:t>
      </w:r>
      <w:r>
        <w:t xml:space="preserve"> долларов для каждого миллиона долларов, на который цена препарата упадет ниже уровня 50 млн</w:t>
      </w:r>
      <w:r w:rsidR="00A50F42">
        <w:t>.</w:t>
      </w:r>
      <w:r>
        <w:t xml:space="preserve"> долларов, через 5 лет. Это эквивалентно пятилетнему пут-опциону на цену лекарственного препарата. Предположим, что ставка по казначейскому векселю составляет 5% и годовая волатильность для акций сопоставимых компаний равна 40% (рис. 10), тогда цена этого опциона — 10,51 млн</w:t>
      </w:r>
      <w:r w:rsidR="00A50F42">
        <w:t>.</w:t>
      </w:r>
      <w:r>
        <w:t xml:space="preserve"> долларов. Такой тип опциона часто называют опционом на отказ от проекта, но он эквива</w:t>
      </w:r>
      <w:r w:rsidR="00A50F42">
        <w:t xml:space="preserve">лентен пут-опциону. (На рис. </w:t>
      </w:r>
      <w:r>
        <w:t xml:space="preserve">10 таблица </w:t>
      </w:r>
      <w:r>
        <w:lastRenderedPageBreak/>
        <w:t>данных показывает, как цена опциона отказа от проекта зависит от предполагаемой</w:t>
      </w:r>
      <w:r w:rsidR="00A50F42">
        <w:t xml:space="preserve"> волатильности, составляющей 30–</w:t>
      </w:r>
      <w:r>
        <w:t>45% от цены лекарственного препарата.)</w:t>
      </w:r>
    </w:p>
    <w:p w:rsidR="00A50F42" w:rsidRDefault="00A50F42" w:rsidP="00416D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29225" cy="3476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0. Вычисление опциона отказа от проект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30" w:rsidRPr="00ED5730" w:rsidRDefault="00A50F42" w:rsidP="00416DA7">
      <w:pPr>
        <w:spacing w:after="120" w:line="240" w:lineRule="auto"/>
      </w:pPr>
      <w:r>
        <w:t xml:space="preserve">Рис. 10. Вычисление </w:t>
      </w:r>
      <w:r w:rsidR="00953C5C">
        <w:t>стоимости пут-опциона отказа от проекта</w:t>
      </w:r>
    </w:p>
    <w:sectPr w:rsidR="00ED5730" w:rsidRPr="00ED5730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42" w:rsidRDefault="00A50F42" w:rsidP="00C348E1">
      <w:pPr>
        <w:spacing w:after="0" w:line="240" w:lineRule="auto"/>
      </w:pPr>
      <w:r>
        <w:separator/>
      </w:r>
    </w:p>
  </w:endnote>
  <w:endnote w:type="continuationSeparator" w:id="0">
    <w:p w:rsidR="00A50F42" w:rsidRDefault="00A50F42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42" w:rsidRDefault="00A50F42" w:rsidP="00C348E1">
      <w:pPr>
        <w:spacing w:after="0" w:line="240" w:lineRule="auto"/>
      </w:pPr>
      <w:r>
        <w:separator/>
      </w:r>
    </w:p>
  </w:footnote>
  <w:footnote w:type="continuationSeparator" w:id="0">
    <w:p w:rsidR="00A50F42" w:rsidRDefault="00A50F42" w:rsidP="00C348E1">
      <w:pPr>
        <w:spacing w:after="0" w:line="240" w:lineRule="auto"/>
      </w:pPr>
      <w:r>
        <w:continuationSeparator/>
      </w:r>
    </w:p>
  </w:footnote>
  <w:footnote w:id="1">
    <w:p w:rsidR="00A50F42" w:rsidRPr="00840EA1" w:rsidRDefault="00A50F42" w:rsidP="00416DA7">
      <w:pPr>
        <w:pStyle w:val="a9"/>
      </w:pPr>
      <w:r>
        <w:rPr>
          <w:rStyle w:val="ab"/>
        </w:rPr>
        <w:footnoteRef/>
      </w:r>
      <w:r w:rsidR="00D03C82">
        <w:t xml:space="preserve"> З</w:t>
      </w:r>
      <w:r>
        <w:t>аметк</w:t>
      </w:r>
      <w:r w:rsidR="00D03C82">
        <w:t>а написана на основе</w:t>
      </w:r>
      <w:r>
        <w:t xml:space="preserve"> материал</w:t>
      </w:r>
      <w:r w:rsidR="00D03C82">
        <w:t>ов из</w:t>
      </w:r>
      <w:r>
        <w:t xml:space="preserve"> книги </w:t>
      </w:r>
      <w:hyperlink r:id="rId1" w:history="1">
        <w:r w:rsidRPr="000F5060">
          <w:rPr>
            <w:rStyle w:val="a3"/>
          </w:rPr>
          <w:t>Уэйн Л. Винстон. Microsoft Excel 2013. Анализ данных и бизнес-моделирование</w:t>
        </w:r>
      </w:hyperlink>
      <w:r>
        <w:t>, глава 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72A4"/>
    <w:multiLevelType w:val="hybridMultilevel"/>
    <w:tmpl w:val="8EB2CBF4"/>
    <w:lvl w:ilvl="0" w:tplc="B6E63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23D"/>
    <w:multiLevelType w:val="hybridMultilevel"/>
    <w:tmpl w:val="710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600C"/>
    <w:multiLevelType w:val="hybridMultilevel"/>
    <w:tmpl w:val="F5E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623"/>
    <w:multiLevelType w:val="hybridMultilevel"/>
    <w:tmpl w:val="CC20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C53"/>
    <w:multiLevelType w:val="hybridMultilevel"/>
    <w:tmpl w:val="680E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369A"/>
    <w:multiLevelType w:val="hybridMultilevel"/>
    <w:tmpl w:val="E6D4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144F0"/>
    <w:multiLevelType w:val="hybridMultilevel"/>
    <w:tmpl w:val="B712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72447"/>
    <w:multiLevelType w:val="hybridMultilevel"/>
    <w:tmpl w:val="F18A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F3A88"/>
    <w:multiLevelType w:val="hybridMultilevel"/>
    <w:tmpl w:val="EA10EC24"/>
    <w:lvl w:ilvl="0" w:tplc="C090F2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9"/>
  </w:num>
  <w:num w:numId="5">
    <w:abstractNumId w:val="11"/>
  </w:num>
  <w:num w:numId="6">
    <w:abstractNumId w:val="14"/>
  </w:num>
  <w:num w:numId="7">
    <w:abstractNumId w:val="2"/>
  </w:num>
  <w:num w:numId="8">
    <w:abstractNumId w:val="10"/>
  </w:num>
  <w:num w:numId="9">
    <w:abstractNumId w:val="17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24E7"/>
    <w:rsid w:val="000164D4"/>
    <w:rsid w:val="00021E72"/>
    <w:rsid w:val="00050630"/>
    <w:rsid w:val="00075D69"/>
    <w:rsid w:val="00084764"/>
    <w:rsid w:val="000A1693"/>
    <w:rsid w:val="000A1AE5"/>
    <w:rsid w:val="000B5B2E"/>
    <w:rsid w:val="000B6A79"/>
    <w:rsid w:val="000E3326"/>
    <w:rsid w:val="000F5060"/>
    <w:rsid w:val="001126DA"/>
    <w:rsid w:val="00127A28"/>
    <w:rsid w:val="001312B8"/>
    <w:rsid w:val="00144BC7"/>
    <w:rsid w:val="00146A3E"/>
    <w:rsid w:val="00153592"/>
    <w:rsid w:val="00164FA0"/>
    <w:rsid w:val="001A1542"/>
    <w:rsid w:val="001A23A4"/>
    <w:rsid w:val="001A624A"/>
    <w:rsid w:val="001C2C08"/>
    <w:rsid w:val="001D6316"/>
    <w:rsid w:val="001D6BD7"/>
    <w:rsid w:val="001E0BF5"/>
    <w:rsid w:val="001F21A1"/>
    <w:rsid w:val="001F366A"/>
    <w:rsid w:val="0020706C"/>
    <w:rsid w:val="00210286"/>
    <w:rsid w:val="00212508"/>
    <w:rsid w:val="00223588"/>
    <w:rsid w:val="002265F0"/>
    <w:rsid w:val="00235A8B"/>
    <w:rsid w:val="00242351"/>
    <w:rsid w:val="00243FFF"/>
    <w:rsid w:val="002476F8"/>
    <w:rsid w:val="002511B1"/>
    <w:rsid w:val="00251B07"/>
    <w:rsid w:val="00253D66"/>
    <w:rsid w:val="0026792A"/>
    <w:rsid w:val="00282F4A"/>
    <w:rsid w:val="002A69AE"/>
    <w:rsid w:val="002B06C5"/>
    <w:rsid w:val="002B117C"/>
    <w:rsid w:val="002B178B"/>
    <w:rsid w:val="002B41BC"/>
    <w:rsid w:val="002C08B5"/>
    <w:rsid w:val="002C08D4"/>
    <w:rsid w:val="002C2621"/>
    <w:rsid w:val="002C47B6"/>
    <w:rsid w:val="002D2951"/>
    <w:rsid w:val="002D2FCE"/>
    <w:rsid w:val="002F11D0"/>
    <w:rsid w:val="00301640"/>
    <w:rsid w:val="00340740"/>
    <w:rsid w:val="0034227B"/>
    <w:rsid w:val="00342AA5"/>
    <w:rsid w:val="00372BCE"/>
    <w:rsid w:val="003743FF"/>
    <w:rsid w:val="00376D3D"/>
    <w:rsid w:val="00387DE5"/>
    <w:rsid w:val="00387E08"/>
    <w:rsid w:val="003973E1"/>
    <w:rsid w:val="003A1753"/>
    <w:rsid w:val="003B0E6E"/>
    <w:rsid w:val="003B359D"/>
    <w:rsid w:val="003C005C"/>
    <w:rsid w:val="003C0457"/>
    <w:rsid w:val="003C2CD2"/>
    <w:rsid w:val="003C2DA6"/>
    <w:rsid w:val="003D3B03"/>
    <w:rsid w:val="003E145E"/>
    <w:rsid w:val="003F7554"/>
    <w:rsid w:val="004152FF"/>
    <w:rsid w:val="00416DA7"/>
    <w:rsid w:val="00422707"/>
    <w:rsid w:val="004402B8"/>
    <w:rsid w:val="00447EB7"/>
    <w:rsid w:val="00453E9E"/>
    <w:rsid w:val="00467F12"/>
    <w:rsid w:val="004A1130"/>
    <w:rsid w:val="004A2D7B"/>
    <w:rsid w:val="004A47E0"/>
    <w:rsid w:val="004A7576"/>
    <w:rsid w:val="004B4B0D"/>
    <w:rsid w:val="004D41CC"/>
    <w:rsid w:val="004D7540"/>
    <w:rsid w:val="004F1D66"/>
    <w:rsid w:val="00522507"/>
    <w:rsid w:val="00541CDA"/>
    <w:rsid w:val="0054349E"/>
    <w:rsid w:val="00545C2B"/>
    <w:rsid w:val="005464E9"/>
    <w:rsid w:val="00547D8B"/>
    <w:rsid w:val="005500E7"/>
    <w:rsid w:val="00553C73"/>
    <w:rsid w:val="00567C04"/>
    <w:rsid w:val="005728B5"/>
    <w:rsid w:val="00581560"/>
    <w:rsid w:val="00581668"/>
    <w:rsid w:val="00582942"/>
    <w:rsid w:val="00596380"/>
    <w:rsid w:val="005A1C65"/>
    <w:rsid w:val="005A488B"/>
    <w:rsid w:val="005B0DA2"/>
    <w:rsid w:val="005B127A"/>
    <w:rsid w:val="005D2A51"/>
    <w:rsid w:val="005E4B74"/>
    <w:rsid w:val="005E518D"/>
    <w:rsid w:val="00601E26"/>
    <w:rsid w:val="00602AB0"/>
    <w:rsid w:val="00632CAB"/>
    <w:rsid w:val="00645354"/>
    <w:rsid w:val="006548E9"/>
    <w:rsid w:val="00656C45"/>
    <w:rsid w:val="00670BBB"/>
    <w:rsid w:val="006868F5"/>
    <w:rsid w:val="00690F59"/>
    <w:rsid w:val="006970D9"/>
    <w:rsid w:val="006A0466"/>
    <w:rsid w:val="006A10E3"/>
    <w:rsid w:val="006A5A69"/>
    <w:rsid w:val="006B5679"/>
    <w:rsid w:val="006D06B1"/>
    <w:rsid w:val="006D1208"/>
    <w:rsid w:val="006E28FA"/>
    <w:rsid w:val="006E7794"/>
    <w:rsid w:val="0071163B"/>
    <w:rsid w:val="00733608"/>
    <w:rsid w:val="00733DE7"/>
    <w:rsid w:val="00762C09"/>
    <w:rsid w:val="00775CF2"/>
    <w:rsid w:val="00796F97"/>
    <w:rsid w:val="007A69F8"/>
    <w:rsid w:val="007A7E40"/>
    <w:rsid w:val="007D5846"/>
    <w:rsid w:val="007F0BB7"/>
    <w:rsid w:val="007F5737"/>
    <w:rsid w:val="00827697"/>
    <w:rsid w:val="0083161E"/>
    <w:rsid w:val="00833A22"/>
    <w:rsid w:val="00840EA1"/>
    <w:rsid w:val="00852238"/>
    <w:rsid w:val="0085608C"/>
    <w:rsid w:val="00856B0F"/>
    <w:rsid w:val="0085766B"/>
    <w:rsid w:val="008768AD"/>
    <w:rsid w:val="00885EEC"/>
    <w:rsid w:val="008A468D"/>
    <w:rsid w:val="008B121B"/>
    <w:rsid w:val="008C0797"/>
    <w:rsid w:val="008C1C6C"/>
    <w:rsid w:val="008C27C3"/>
    <w:rsid w:val="008C5704"/>
    <w:rsid w:val="008F275D"/>
    <w:rsid w:val="0090734D"/>
    <w:rsid w:val="009078C3"/>
    <w:rsid w:val="0091297E"/>
    <w:rsid w:val="0091513F"/>
    <w:rsid w:val="00915791"/>
    <w:rsid w:val="00922E6E"/>
    <w:rsid w:val="009231B8"/>
    <w:rsid w:val="00925ED1"/>
    <w:rsid w:val="009311A0"/>
    <w:rsid w:val="009518E1"/>
    <w:rsid w:val="00953C5C"/>
    <w:rsid w:val="00957D47"/>
    <w:rsid w:val="0096260C"/>
    <w:rsid w:val="00974864"/>
    <w:rsid w:val="009766D1"/>
    <w:rsid w:val="00986172"/>
    <w:rsid w:val="00990C74"/>
    <w:rsid w:val="009A050F"/>
    <w:rsid w:val="009C3E56"/>
    <w:rsid w:val="009D2619"/>
    <w:rsid w:val="009E0289"/>
    <w:rsid w:val="009F21B2"/>
    <w:rsid w:val="009F6E71"/>
    <w:rsid w:val="00A00AA3"/>
    <w:rsid w:val="00A17C4A"/>
    <w:rsid w:val="00A36257"/>
    <w:rsid w:val="00A47CCB"/>
    <w:rsid w:val="00A50F42"/>
    <w:rsid w:val="00A679D7"/>
    <w:rsid w:val="00A77C23"/>
    <w:rsid w:val="00A81171"/>
    <w:rsid w:val="00A828D1"/>
    <w:rsid w:val="00A90155"/>
    <w:rsid w:val="00AA2BAE"/>
    <w:rsid w:val="00AA3671"/>
    <w:rsid w:val="00AB0815"/>
    <w:rsid w:val="00AC0280"/>
    <w:rsid w:val="00AC17F9"/>
    <w:rsid w:val="00AC1D1F"/>
    <w:rsid w:val="00AD0F37"/>
    <w:rsid w:val="00AD1986"/>
    <w:rsid w:val="00AD2D3E"/>
    <w:rsid w:val="00AD35D9"/>
    <w:rsid w:val="00AE150A"/>
    <w:rsid w:val="00AF2517"/>
    <w:rsid w:val="00AF52C6"/>
    <w:rsid w:val="00AF60D2"/>
    <w:rsid w:val="00B04944"/>
    <w:rsid w:val="00B07AD3"/>
    <w:rsid w:val="00B246DA"/>
    <w:rsid w:val="00B36F7F"/>
    <w:rsid w:val="00B527B1"/>
    <w:rsid w:val="00B64620"/>
    <w:rsid w:val="00B80E7A"/>
    <w:rsid w:val="00B832F4"/>
    <w:rsid w:val="00B83303"/>
    <w:rsid w:val="00B95D2B"/>
    <w:rsid w:val="00BA032A"/>
    <w:rsid w:val="00BA35FB"/>
    <w:rsid w:val="00BB38F0"/>
    <w:rsid w:val="00BB48FE"/>
    <w:rsid w:val="00BC11CB"/>
    <w:rsid w:val="00BC391F"/>
    <w:rsid w:val="00BC62A3"/>
    <w:rsid w:val="00BD076F"/>
    <w:rsid w:val="00C05837"/>
    <w:rsid w:val="00C05CF6"/>
    <w:rsid w:val="00C16D99"/>
    <w:rsid w:val="00C3389A"/>
    <w:rsid w:val="00C348E1"/>
    <w:rsid w:val="00C35071"/>
    <w:rsid w:val="00C52CCD"/>
    <w:rsid w:val="00C5489A"/>
    <w:rsid w:val="00C632B7"/>
    <w:rsid w:val="00C71161"/>
    <w:rsid w:val="00C73E9D"/>
    <w:rsid w:val="00C81F7C"/>
    <w:rsid w:val="00C940D6"/>
    <w:rsid w:val="00CA303D"/>
    <w:rsid w:val="00CA5109"/>
    <w:rsid w:val="00CA7BBA"/>
    <w:rsid w:val="00CB4FB6"/>
    <w:rsid w:val="00CD7B37"/>
    <w:rsid w:val="00CE756A"/>
    <w:rsid w:val="00D00426"/>
    <w:rsid w:val="00D00BBF"/>
    <w:rsid w:val="00D01416"/>
    <w:rsid w:val="00D03C82"/>
    <w:rsid w:val="00D1330E"/>
    <w:rsid w:val="00D402D1"/>
    <w:rsid w:val="00D42B29"/>
    <w:rsid w:val="00D454B1"/>
    <w:rsid w:val="00D5044D"/>
    <w:rsid w:val="00D63A43"/>
    <w:rsid w:val="00D63B44"/>
    <w:rsid w:val="00D73BC2"/>
    <w:rsid w:val="00D95BDD"/>
    <w:rsid w:val="00DE1197"/>
    <w:rsid w:val="00DE5F49"/>
    <w:rsid w:val="00DF781F"/>
    <w:rsid w:val="00E019DD"/>
    <w:rsid w:val="00E10261"/>
    <w:rsid w:val="00E12133"/>
    <w:rsid w:val="00E179B1"/>
    <w:rsid w:val="00E26A3D"/>
    <w:rsid w:val="00E31913"/>
    <w:rsid w:val="00E329C8"/>
    <w:rsid w:val="00E45FCB"/>
    <w:rsid w:val="00E57AAC"/>
    <w:rsid w:val="00E627D4"/>
    <w:rsid w:val="00E64F4D"/>
    <w:rsid w:val="00E71591"/>
    <w:rsid w:val="00E7718E"/>
    <w:rsid w:val="00E7773E"/>
    <w:rsid w:val="00E942D0"/>
    <w:rsid w:val="00EA2A85"/>
    <w:rsid w:val="00EB5763"/>
    <w:rsid w:val="00EC62DE"/>
    <w:rsid w:val="00ED06BD"/>
    <w:rsid w:val="00ED2CC9"/>
    <w:rsid w:val="00ED5730"/>
    <w:rsid w:val="00ED58CB"/>
    <w:rsid w:val="00ED5AA5"/>
    <w:rsid w:val="00ED66C2"/>
    <w:rsid w:val="00EE6307"/>
    <w:rsid w:val="00EE640D"/>
    <w:rsid w:val="00EF0A34"/>
    <w:rsid w:val="00EF38F9"/>
    <w:rsid w:val="00EF5B8A"/>
    <w:rsid w:val="00F102DC"/>
    <w:rsid w:val="00F218C5"/>
    <w:rsid w:val="00F34E85"/>
    <w:rsid w:val="00F3512A"/>
    <w:rsid w:val="00F36574"/>
    <w:rsid w:val="00F55E5A"/>
    <w:rsid w:val="00F5779F"/>
    <w:rsid w:val="00F929E8"/>
    <w:rsid w:val="00F9423D"/>
    <w:rsid w:val="00F959F2"/>
    <w:rsid w:val="00FB5B41"/>
    <w:rsid w:val="00FB6B7A"/>
    <w:rsid w:val="00FC1BA2"/>
    <w:rsid w:val="00FC5526"/>
    <w:rsid w:val="00FC6BBC"/>
    <w:rsid w:val="00FD4B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F87C-B11D-4576-BD1B-B3DA5CC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customStyle="1" w:styleId="20">
    <w:name w:val="Заголовок 2 Знак"/>
    <w:basedOn w:val="a0"/>
    <w:link w:val="2"/>
    <w:uiPriority w:val="9"/>
    <w:rsid w:val="006548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Placeholder Text"/>
    <w:basedOn w:val="a0"/>
    <w:uiPriority w:val="99"/>
    <w:semiHidden/>
    <w:rsid w:val="00BC6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://www.ivolatility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hyperlink" Target="http://baguzin.ru/wp/?p=15634" TargetMode="External"/><Relationship Id="rId19" Type="http://schemas.openxmlformats.org/officeDocument/2006/relationships/hyperlink" Target="http://www.ivolatilit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baguzin.ru/wp/?p=276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01FB-706B-49DA-8E35-A99B0178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8</cp:revision>
  <cp:lastPrinted>2013-11-10T14:30:00Z</cp:lastPrinted>
  <dcterms:created xsi:type="dcterms:W3CDTF">2017-12-18T10:38:00Z</dcterms:created>
  <dcterms:modified xsi:type="dcterms:W3CDTF">2017-12-18T15:56:00Z</dcterms:modified>
</cp:coreProperties>
</file>