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6A" w:rsidRDefault="00976F59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976F59">
        <w:rPr>
          <w:rFonts w:eastAsia="Times New Roman" w:cstheme="minorHAnsi"/>
          <w:b/>
          <w:bCs/>
          <w:color w:val="000000"/>
          <w:sz w:val="28"/>
          <w:lang w:eastAsia="ru-RU"/>
        </w:rPr>
        <w:t>Роза Восканян. Реальные опционы в оценке стоимости инновационной компании</w:t>
      </w:r>
    </w:p>
    <w:p w:rsidR="00FA43BC" w:rsidRDefault="001E6E0D" w:rsidP="001E6E0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На мой взгляд, метод реальных опционов недооценен в корпоративной финансовой практике в России. В тоже время он может повысить качество управленческих решений. Например, обновлять ли парк техники сегодня, или продолжить обслуживать устаревшую, а решение о покупке принять на следующий год. Или, при каких условиях </w:t>
      </w:r>
      <w:r w:rsidR="00FA43BC">
        <w:rPr>
          <w:rFonts w:eastAsia="Times New Roman" w:cstheme="minorHAnsi"/>
          <w:color w:val="000000"/>
          <w:lang w:eastAsia="ru-RU"/>
        </w:rPr>
        <w:t>вести переговоры с</w:t>
      </w:r>
      <w:r>
        <w:rPr>
          <w:rFonts w:eastAsia="Times New Roman" w:cstheme="minorHAnsi"/>
          <w:color w:val="000000"/>
          <w:lang w:eastAsia="ru-RU"/>
        </w:rPr>
        <w:t xml:space="preserve"> дебитор</w:t>
      </w:r>
      <w:r w:rsidR="00FA43BC">
        <w:rPr>
          <w:rFonts w:eastAsia="Times New Roman" w:cstheme="minorHAnsi"/>
          <w:color w:val="000000"/>
          <w:lang w:eastAsia="ru-RU"/>
        </w:rPr>
        <w:t>ом, задерживающим оплату, и в какой момент подавать на него в суд, понимая, что отношения будут испорчены.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FA43BC">
        <w:rPr>
          <w:rFonts w:eastAsia="Times New Roman" w:cstheme="minorHAnsi"/>
          <w:color w:val="000000"/>
          <w:lang w:eastAsia="ru-RU"/>
        </w:rPr>
        <w:t>Для изучения вопроса я читаю всё, что содержит ключевые слова. К сожалению, эта небольшая книга не продвинула меня в понимании реальных опционов. Книга не содержит ни одного примера. В первой части автор рассматривает традиционные методы оценки стоимости компании: доходный, затратный, сравнительный. Описывая их достоинства и недостатки, автор предлагает метод реальных опционов, наилучшим образом отвечающий специфике инновационного бизнеса.</w:t>
      </w:r>
    </w:p>
    <w:p w:rsidR="000B0F12" w:rsidRDefault="001E6E0D" w:rsidP="00767D0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E6E0D">
        <w:rPr>
          <w:rFonts w:eastAsia="Times New Roman" w:cstheme="minorHAnsi"/>
          <w:color w:val="000000"/>
          <w:lang w:eastAsia="ru-RU"/>
        </w:rPr>
        <w:t>Роза Восканян. Реальные опционы в оценке стоимости инновационной компании</w:t>
      </w:r>
      <w:r>
        <w:rPr>
          <w:rFonts w:eastAsia="Times New Roman" w:cstheme="minorHAnsi"/>
          <w:color w:val="000000"/>
          <w:lang w:eastAsia="ru-RU"/>
        </w:rPr>
        <w:t>. – М.: Проспект, 2017. – 76 с.</w:t>
      </w:r>
    </w:p>
    <w:p w:rsidR="001E6E0D" w:rsidRDefault="001E6E0D" w:rsidP="00767D0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99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оза Восканян. Реальные опционы в оценке стоимости инновационной компании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BC" w:rsidRDefault="00FA43BC" w:rsidP="00767D0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A43BC">
        <w:rPr>
          <w:rFonts w:eastAsia="Times New Roman" w:cstheme="minorHAnsi"/>
          <w:color w:val="000000"/>
          <w:lang w:eastAsia="ru-RU"/>
        </w:rPr>
        <w:t xml:space="preserve">Купить книгу в </w:t>
      </w:r>
      <w:hyperlink r:id="rId9" w:history="1">
        <w:r w:rsidRPr="00FA43BC">
          <w:rPr>
            <w:rStyle w:val="a9"/>
            <w:rFonts w:eastAsia="Times New Roman" w:cstheme="minorHAnsi"/>
            <w:lang w:eastAsia="ru-RU"/>
          </w:rPr>
          <w:t>Ozon</w:t>
        </w:r>
      </w:hyperlink>
      <w:r w:rsidRPr="00FA43BC">
        <w:rPr>
          <w:rFonts w:eastAsia="Times New Roman" w:cstheme="minorHAnsi"/>
          <w:color w:val="000000"/>
          <w:lang w:eastAsia="ru-RU"/>
        </w:rPr>
        <w:t xml:space="preserve"> или </w:t>
      </w:r>
      <w:hyperlink r:id="rId10" w:history="1">
        <w:r w:rsidRPr="00FA43BC">
          <w:rPr>
            <w:rStyle w:val="a9"/>
            <w:rFonts w:eastAsia="Times New Roman" w:cstheme="minorHAnsi"/>
            <w:lang w:eastAsia="ru-RU"/>
          </w:rPr>
          <w:t>Лабиринте</w:t>
        </w:r>
      </w:hyperlink>
    </w:p>
    <w:p w:rsidR="00F7131F" w:rsidRDefault="00F7131F" w:rsidP="00F7131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Pr="00F7131F">
        <w:rPr>
          <w:rFonts w:eastAsia="Times New Roman" w:cstheme="minorHAnsi"/>
          <w:color w:val="000000"/>
          <w:lang w:eastAsia="ru-RU"/>
        </w:rPr>
        <w:t>тоимост</w:t>
      </w:r>
      <w:r>
        <w:rPr>
          <w:rFonts w:eastAsia="Times New Roman" w:cstheme="minorHAnsi"/>
          <w:color w:val="000000"/>
          <w:lang w:eastAsia="ru-RU"/>
        </w:rPr>
        <w:t>ь</w:t>
      </w:r>
      <w:r w:rsidRPr="00F7131F">
        <w:rPr>
          <w:rFonts w:eastAsia="Times New Roman" w:cstheme="minorHAnsi"/>
          <w:color w:val="000000"/>
          <w:lang w:eastAsia="ru-RU"/>
        </w:rPr>
        <w:t xml:space="preserve"> инновационной компа</w:t>
      </w:r>
      <w:r w:rsidR="005E4915">
        <w:rPr>
          <w:rFonts w:eastAsia="Times New Roman" w:cstheme="minorHAnsi"/>
          <w:color w:val="000000"/>
          <w:lang w:eastAsia="ru-RU"/>
        </w:rPr>
        <w:t>нии представляе</w:t>
      </w:r>
      <w:r w:rsidRPr="00F7131F">
        <w:rPr>
          <w:rFonts w:eastAsia="Times New Roman" w:cstheme="minorHAnsi"/>
          <w:color w:val="000000"/>
          <w:lang w:eastAsia="ru-RU"/>
        </w:rPr>
        <w:t>т собой совокупный показатель стоимости источников финансирования, имущественно</w:t>
      </w:r>
      <w:r w:rsidR="005E4915">
        <w:rPr>
          <w:rFonts w:eastAsia="Times New Roman" w:cstheme="minorHAnsi"/>
          <w:color w:val="000000"/>
          <w:lang w:eastAsia="ru-RU"/>
        </w:rPr>
        <w:t>го комплекса и неопределенности. Для оценки н</w:t>
      </w:r>
      <w:r w:rsidRPr="00F7131F">
        <w:rPr>
          <w:rFonts w:eastAsia="Times New Roman" w:cstheme="minorHAnsi"/>
          <w:color w:val="000000"/>
          <w:lang w:eastAsia="ru-RU"/>
        </w:rPr>
        <w:t>еопределенност</w:t>
      </w:r>
      <w:r w:rsidR="005E4915">
        <w:rPr>
          <w:rFonts w:eastAsia="Times New Roman" w:cstheme="minorHAnsi"/>
          <w:color w:val="000000"/>
          <w:lang w:eastAsia="ru-RU"/>
        </w:rPr>
        <w:t xml:space="preserve">и </w:t>
      </w:r>
      <w:r w:rsidRPr="00F7131F">
        <w:rPr>
          <w:rFonts w:eastAsia="Times New Roman" w:cstheme="minorHAnsi"/>
          <w:color w:val="000000"/>
          <w:lang w:eastAsia="ru-RU"/>
        </w:rPr>
        <w:t>предлагается использовать метод реальных опционов</w:t>
      </w:r>
      <w:r w:rsidR="005E4915">
        <w:rPr>
          <w:rFonts w:eastAsia="Times New Roman" w:cstheme="minorHAnsi"/>
          <w:color w:val="000000"/>
          <w:lang w:eastAsia="ru-RU"/>
        </w:rPr>
        <w:t xml:space="preserve">. Под </w:t>
      </w:r>
      <w:r w:rsidRPr="00F7131F">
        <w:rPr>
          <w:rFonts w:eastAsia="Times New Roman" w:cstheme="minorHAnsi"/>
          <w:color w:val="000000"/>
          <w:lang w:eastAsia="ru-RU"/>
        </w:rPr>
        <w:t>реальным опционом подразумевается контракт на право приняти</w:t>
      </w:r>
      <w:r w:rsidR="005E4915">
        <w:rPr>
          <w:rFonts w:eastAsia="Times New Roman" w:cstheme="minorHAnsi"/>
          <w:color w:val="000000"/>
          <w:lang w:eastAsia="ru-RU"/>
        </w:rPr>
        <w:t>я в будущем того или иного управл</w:t>
      </w:r>
      <w:r w:rsidRPr="00F7131F">
        <w:rPr>
          <w:rFonts w:eastAsia="Times New Roman" w:cstheme="minorHAnsi"/>
          <w:color w:val="000000"/>
          <w:lang w:eastAsia="ru-RU"/>
        </w:rPr>
        <w:t>енческого решения.</w:t>
      </w:r>
    </w:p>
    <w:p w:rsidR="00617679" w:rsidRPr="00617679" w:rsidRDefault="00617679" w:rsidP="005E4915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В соответствии с Фед</w:t>
      </w:r>
      <w:r w:rsidR="002069F1">
        <w:rPr>
          <w:rFonts w:eastAsia="Times New Roman" w:cstheme="minorHAnsi"/>
          <w:color w:val="000000"/>
          <w:lang w:eastAsia="ru-RU"/>
        </w:rPr>
        <w:t xml:space="preserve">еральным стандартом оценки № 1 </w:t>
      </w:r>
      <w:hyperlink r:id="rId11" w:history="1">
        <w:r w:rsidRPr="002069F1">
          <w:rPr>
            <w:rStyle w:val="a9"/>
            <w:rFonts w:eastAsia="Times New Roman" w:cstheme="minorHAnsi"/>
            <w:lang w:eastAsia="ru-RU"/>
          </w:rPr>
          <w:t>Общие понятия оценки, подходы к оценке и требовани</w:t>
        </w:r>
        <w:r w:rsidR="002069F1" w:rsidRPr="002069F1">
          <w:rPr>
            <w:rStyle w:val="a9"/>
            <w:rFonts w:eastAsia="Times New Roman" w:cstheme="minorHAnsi"/>
            <w:lang w:eastAsia="ru-RU"/>
          </w:rPr>
          <w:t>я к проведению оценки</w:t>
        </w:r>
      </w:hyperlink>
      <w:r w:rsidR="002069F1">
        <w:rPr>
          <w:rFonts w:eastAsia="Times New Roman" w:cstheme="minorHAnsi"/>
          <w:color w:val="000000"/>
          <w:lang w:eastAsia="ru-RU"/>
        </w:rPr>
        <w:t xml:space="preserve"> (ФСО № 1)</w:t>
      </w:r>
      <w:r w:rsidRPr="00617679">
        <w:rPr>
          <w:rFonts w:eastAsia="Times New Roman" w:cstheme="minorHAnsi"/>
          <w:color w:val="000000"/>
          <w:lang w:eastAsia="ru-RU"/>
        </w:rPr>
        <w:t xml:space="preserve"> существуют три подхода к оценке стоимости:</w:t>
      </w:r>
    </w:p>
    <w:p w:rsidR="00617679" w:rsidRPr="005E4915" w:rsidRDefault="00617679" w:rsidP="005E4915">
      <w:pPr>
        <w:pStyle w:val="aa"/>
        <w:numPr>
          <w:ilvl w:val="0"/>
          <w:numId w:val="12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4915">
        <w:rPr>
          <w:rFonts w:eastAsia="Times New Roman" w:cstheme="minorHAnsi"/>
          <w:color w:val="000000"/>
          <w:lang w:eastAsia="ru-RU"/>
        </w:rPr>
        <w:t>Доходный подход — совокупнос</w:t>
      </w:r>
      <w:r w:rsidR="005E4915" w:rsidRPr="005E4915">
        <w:rPr>
          <w:rFonts w:eastAsia="Times New Roman" w:cstheme="minorHAnsi"/>
          <w:color w:val="000000"/>
          <w:lang w:eastAsia="ru-RU"/>
        </w:rPr>
        <w:t>ть методов оценки стоимости объ</w:t>
      </w:r>
      <w:r w:rsidRPr="005E4915">
        <w:rPr>
          <w:rFonts w:eastAsia="Times New Roman" w:cstheme="minorHAnsi"/>
          <w:color w:val="000000"/>
          <w:lang w:eastAsia="ru-RU"/>
        </w:rPr>
        <w:t>екта оценки, основанных на определении ожи</w:t>
      </w:r>
      <w:r w:rsidR="005E4915" w:rsidRPr="005E4915">
        <w:rPr>
          <w:rFonts w:eastAsia="Times New Roman" w:cstheme="minorHAnsi"/>
          <w:color w:val="000000"/>
          <w:lang w:eastAsia="ru-RU"/>
        </w:rPr>
        <w:t>даемых доходов от исполь</w:t>
      </w:r>
      <w:r w:rsidRPr="005E4915">
        <w:rPr>
          <w:rFonts w:eastAsia="Times New Roman" w:cstheme="minorHAnsi"/>
          <w:color w:val="000000"/>
          <w:lang w:eastAsia="ru-RU"/>
        </w:rPr>
        <w:t>зования объекта оценки.</w:t>
      </w:r>
    </w:p>
    <w:p w:rsidR="005E4915" w:rsidRPr="005E4915" w:rsidRDefault="00617679" w:rsidP="005E4915">
      <w:pPr>
        <w:pStyle w:val="aa"/>
        <w:numPr>
          <w:ilvl w:val="0"/>
          <w:numId w:val="12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4915">
        <w:rPr>
          <w:rFonts w:eastAsia="Times New Roman" w:cstheme="minorHAnsi"/>
          <w:color w:val="000000"/>
          <w:lang w:eastAsia="ru-RU"/>
        </w:rPr>
        <w:t>Сравнительный подход — совокупность методов оценки стоимости объекта оценки, основанных на сравнении объекта оценки с объектами — аналогами объекта оценки, в отношении которых имеется информация о ценах.</w:t>
      </w:r>
    </w:p>
    <w:p w:rsidR="005E4915" w:rsidRPr="005E4915" w:rsidRDefault="00617679" w:rsidP="005E4915">
      <w:pPr>
        <w:pStyle w:val="aa"/>
        <w:numPr>
          <w:ilvl w:val="0"/>
          <w:numId w:val="12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4915">
        <w:rPr>
          <w:rFonts w:eastAsia="Times New Roman" w:cstheme="minorHAnsi"/>
          <w:color w:val="000000"/>
          <w:lang w:eastAsia="ru-RU"/>
        </w:rPr>
        <w:t>Затратный подход — совокупность методов оценки стои</w:t>
      </w:r>
      <w:r w:rsidR="005E4915" w:rsidRPr="005E4915">
        <w:rPr>
          <w:rFonts w:eastAsia="Times New Roman" w:cstheme="minorHAnsi"/>
          <w:color w:val="000000"/>
          <w:lang w:eastAsia="ru-RU"/>
        </w:rPr>
        <w:t>мости объ</w:t>
      </w:r>
      <w:r w:rsidRPr="005E4915">
        <w:rPr>
          <w:rFonts w:eastAsia="Times New Roman" w:cstheme="minorHAnsi"/>
          <w:color w:val="000000"/>
          <w:lang w:eastAsia="ru-RU"/>
        </w:rPr>
        <w:t>екта оценки, основанных на определе</w:t>
      </w:r>
      <w:r w:rsidR="005E4915" w:rsidRPr="005E4915">
        <w:rPr>
          <w:rFonts w:eastAsia="Times New Roman" w:cstheme="minorHAnsi"/>
          <w:color w:val="000000"/>
          <w:lang w:eastAsia="ru-RU"/>
        </w:rPr>
        <w:t>нии затрат, необходимых для вос</w:t>
      </w:r>
      <w:r w:rsidRPr="005E4915">
        <w:rPr>
          <w:rFonts w:eastAsia="Times New Roman" w:cstheme="minorHAnsi"/>
          <w:color w:val="000000"/>
          <w:lang w:eastAsia="ru-RU"/>
        </w:rPr>
        <w:t xml:space="preserve">производства либо замещения объекта </w:t>
      </w:r>
      <w:r w:rsidR="005E4915" w:rsidRPr="005E4915">
        <w:rPr>
          <w:rFonts w:eastAsia="Times New Roman" w:cstheme="minorHAnsi"/>
          <w:color w:val="000000"/>
          <w:lang w:eastAsia="ru-RU"/>
        </w:rPr>
        <w:t>оценки с учетом износа и устаре</w:t>
      </w:r>
      <w:r w:rsidRPr="005E4915">
        <w:rPr>
          <w:rFonts w:eastAsia="Times New Roman" w:cstheme="minorHAnsi"/>
          <w:color w:val="000000"/>
          <w:lang w:eastAsia="ru-RU"/>
        </w:rPr>
        <w:t>вания.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Любой инвестор, вкладывая свои св</w:t>
      </w:r>
      <w:r w:rsidR="005E4915">
        <w:rPr>
          <w:rFonts w:eastAsia="Times New Roman" w:cstheme="minorHAnsi"/>
          <w:color w:val="000000"/>
          <w:lang w:eastAsia="ru-RU"/>
        </w:rPr>
        <w:t>ободные финансовые ресурсы в ин</w:t>
      </w:r>
      <w:r w:rsidRPr="00617679">
        <w:rPr>
          <w:rFonts w:eastAsia="Times New Roman" w:cstheme="minorHAnsi"/>
          <w:color w:val="000000"/>
          <w:lang w:eastAsia="ru-RU"/>
        </w:rPr>
        <w:t>вестиционный проект, в первую очередь рассчитывает на поток будущих доходов, который позволит ему как можно скорее окупить вложенные средства и увеличить свою прибыль.</w:t>
      </w:r>
      <w:r w:rsidR="005E4915">
        <w:rPr>
          <w:rFonts w:eastAsia="Times New Roman" w:cstheme="minorHAnsi"/>
          <w:color w:val="000000"/>
          <w:lang w:eastAsia="ru-RU"/>
        </w:rPr>
        <w:t xml:space="preserve"> </w:t>
      </w:r>
      <w:r w:rsidRPr="00617679">
        <w:rPr>
          <w:rFonts w:eastAsia="Times New Roman" w:cstheme="minorHAnsi"/>
          <w:color w:val="000000"/>
          <w:lang w:eastAsia="ru-RU"/>
        </w:rPr>
        <w:t xml:space="preserve">Денежные потоки имеют существенные преимущества по сравнению с показателями прибыли, а именно — отражают реальный достигнутый результат деятельности компании; менее подвержены влиянию учетной политики, искажению и </w:t>
      </w:r>
      <w:r w:rsidRPr="00617679">
        <w:rPr>
          <w:rFonts w:eastAsia="Times New Roman" w:cstheme="minorHAnsi"/>
          <w:color w:val="000000"/>
          <w:lang w:eastAsia="ru-RU"/>
        </w:rPr>
        <w:lastRenderedPageBreak/>
        <w:t>манипулированию; показывают результаты деятельности в разрезе операционной, инвестиционной и финансовой деятельности; используются в оценке фундам</w:t>
      </w:r>
      <w:r w:rsidR="005E4915">
        <w:rPr>
          <w:rFonts w:eastAsia="Times New Roman" w:cstheme="minorHAnsi"/>
          <w:color w:val="000000"/>
          <w:lang w:eastAsia="ru-RU"/>
        </w:rPr>
        <w:t>ентальной стоимости.</w:t>
      </w:r>
    </w:p>
    <w:p w:rsidR="00617679" w:rsidRPr="00617679" w:rsidRDefault="002069F1" w:rsidP="002069F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617679" w:rsidRPr="00617679">
        <w:rPr>
          <w:rFonts w:eastAsia="Times New Roman" w:cstheme="minorHAnsi"/>
          <w:color w:val="000000"/>
          <w:lang w:eastAsia="ru-RU"/>
        </w:rPr>
        <w:t>едостатк</w:t>
      </w:r>
      <w:r>
        <w:rPr>
          <w:rFonts w:eastAsia="Times New Roman" w:cstheme="minorHAnsi"/>
          <w:color w:val="000000"/>
          <w:lang w:eastAsia="ru-RU"/>
        </w:rPr>
        <w:t>и</w:t>
      </w:r>
      <w:r w:rsidR="00617679" w:rsidRPr="00617679">
        <w:rPr>
          <w:rFonts w:eastAsia="Times New Roman" w:cstheme="minorHAnsi"/>
          <w:color w:val="000000"/>
          <w:lang w:eastAsia="ru-RU"/>
        </w:rPr>
        <w:t xml:space="preserve"> доходного подхода</w:t>
      </w:r>
      <w:r>
        <w:rPr>
          <w:rFonts w:eastAsia="Times New Roman" w:cstheme="minorHAnsi"/>
          <w:color w:val="000000"/>
          <w:lang w:eastAsia="ru-RU"/>
        </w:rPr>
        <w:t xml:space="preserve"> (рис. 1)</w:t>
      </w:r>
      <w:r w:rsidR="00617679" w:rsidRPr="00617679">
        <w:rPr>
          <w:rFonts w:eastAsia="Times New Roman" w:cstheme="minorHAnsi"/>
          <w:color w:val="000000"/>
          <w:lang w:eastAsia="ru-RU"/>
        </w:rPr>
        <w:t>:</w:t>
      </w:r>
    </w:p>
    <w:p w:rsidR="00617679" w:rsidRPr="002069F1" w:rsidRDefault="00617679" w:rsidP="002069F1">
      <w:pPr>
        <w:pStyle w:val="aa"/>
        <w:numPr>
          <w:ilvl w:val="0"/>
          <w:numId w:val="13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069F1">
        <w:rPr>
          <w:rFonts w:eastAsia="Times New Roman" w:cstheme="minorHAnsi"/>
          <w:color w:val="000000"/>
          <w:lang w:eastAsia="ru-RU"/>
        </w:rPr>
        <w:t>прогнозирование долговременного потока затруднено</w:t>
      </w:r>
      <w:r w:rsidR="002069F1" w:rsidRPr="002069F1">
        <w:rPr>
          <w:rFonts w:eastAsia="Times New Roman" w:cstheme="minorHAnsi"/>
          <w:color w:val="000000"/>
          <w:lang w:eastAsia="ru-RU"/>
        </w:rPr>
        <w:t xml:space="preserve"> </w:t>
      </w:r>
      <w:r w:rsidRPr="002069F1">
        <w:rPr>
          <w:rFonts w:eastAsia="Times New Roman" w:cstheme="minorHAnsi"/>
          <w:color w:val="000000"/>
          <w:lang w:eastAsia="ru-RU"/>
        </w:rPr>
        <w:t>в связи с чем вероятность неточности прогноза увеличивается пропорционально долгосрочности прогнозируемого периода;</w:t>
      </w:r>
    </w:p>
    <w:p w:rsidR="00617679" w:rsidRPr="002069F1" w:rsidRDefault="00617679" w:rsidP="002069F1">
      <w:pPr>
        <w:pStyle w:val="aa"/>
        <w:numPr>
          <w:ilvl w:val="0"/>
          <w:numId w:val="13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069F1">
        <w:rPr>
          <w:rFonts w:eastAsia="Times New Roman" w:cstheme="minorHAnsi"/>
          <w:color w:val="000000"/>
          <w:lang w:eastAsia="ru-RU"/>
        </w:rPr>
        <w:t>сложность расчета ставок капитализации и дисконтирования;</w:t>
      </w:r>
    </w:p>
    <w:p w:rsidR="00617679" w:rsidRPr="002069F1" w:rsidRDefault="00617679" w:rsidP="002069F1">
      <w:pPr>
        <w:pStyle w:val="aa"/>
        <w:numPr>
          <w:ilvl w:val="0"/>
          <w:numId w:val="13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069F1">
        <w:rPr>
          <w:rFonts w:eastAsia="Times New Roman" w:cstheme="minorHAnsi"/>
          <w:color w:val="000000"/>
          <w:lang w:eastAsia="ru-RU"/>
        </w:rPr>
        <w:t xml:space="preserve">в процессе прогнозирования </w:t>
      </w:r>
      <w:r w:rsidR="002069F1" w:rsidRPr="002069F1">
        <w:rPr>
          <w:rFonts w:eastAsia="Times New Roman" w:cstheme="minorHAnsi"/>
          <w:color w:val="000000"/>
          <w:lang w:eastAsia="ru-RU"/>
        </w:rPr>
        <w:t>денежных потоков или ставок дис</w:t>
      </w:r>
      <w:r w:rsidRPr="002069F1">
        <w:rPr>
          <w:rFonts w:eastAsia="Times New Roman" w:cstheme="minorHAnsi"/>
          <w:color w:val="000000"/>
          <w:lang w:eastAsia="ru-RU"/>
        </w:rPr>
        <w:t>контирования устанавливаются различные предположения и ограничения,</w:t>
      </w:r>
      <w:r w:rsidR="002069F1" w:rsidRPr="002069F1">
        <w:rPr>
          <w:rFonts w:eastAsia="Times New Roman" w:cstheme="minorHAnsi"/>
          <w:color w:val="000000"/>
          <w:lang w:eastAsia="ru-RU"/>
        </w:rPr>
        <w:t xml:space="preserve"> носящие условный характер.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 xml:space="preserve"> </w:t>
      </w:r>
      <w:r w:rsidR="002069F1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467225" cy="3105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. Недостатки существующих подходов к оценке стоимости инновационной компани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79" w:rsidRPr="00617679" w:rsidRDefault="002069F1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</w:t>
      </w:r>
      <w:r w:rsidR="00617679" w:rsidRPr="00617679">
        <w:rPr>
          <w:rFonts w:eastAsia="Times New Roman" w:cstheme="minorHAnsi"/>
          <w:color w:val="000000"/>
          <w:lang w:eastAsia="ru-RU"/>
        </w:rPr>
        <w:t>. Недостатки существующих подходов к оценке стоимости инновационной компании</w:t>
      </w:r>
    </w:p>
    <w:p w:rsidR="002069F1" w:rsidRDefault="002069F1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617679" w:rsidRPr="00617679">
        <w:rPr>
          <w:rFonts w:eastAsia="Times New Roman" w:cstheme="minorHAnsi"/>
          <w:color w:val="000000"/>
          <w:lang w:eastAsia="ru-RU"/>
        </w:rPr>
        <w:t>ля оценки стоимости инновационных компаний наилучшим о</w:t>
      </w:r>
      <w:r>
        <w:rPr>
          <w:rFonts w:eastAsia="Times New Roman" w:cstheme="minorHAnsi"/>
          <w:color w:val="000000"/>
          <w:lang w:eastAsia="ru-RU"/>
        </w:rPr>
        <w:t>бразом под</w:t>
      </w:r>
      <w:r w:rsidR="00617679" w:rsidRPr="00617679">
        <w:rPr>
          <w:rFonts w:eastAsia="Times New Roman" w:cstheme="minorHAnsi"/>
          <w:color w:val="000000"/>
          <w:lang w:eastAsia="ru-RU"/>
        </w:rPr>
        <w:t>ходит метод реальных опционов, с помощью которого можно учитывать и управлять перспективами инновационной компании. Реальные опционы представляют собой возможность принятия гибких управленческих решений в условиях постоянно меняющейся сре</w:t>
      </w:r>
      <w:r>
        <w:rPr>
          <w:rFonts w:eastAsia="Times New Roman" w:cstheme="minorHAnsi"/>
          <w:color w:val="000000"/>
          <w:lang w:eastAsia="ru-RU"/>
        </w:rPr>
        <w:t xml:space="preserve">ды. </w:t>
      </w:r>
      <w:r w:rsidRPr="002069F1">
        <w:rPr>
          <w:rFonts w:eastAsia="Times New Roman" w:cstheme="minorHAnsi"/>
          <w:color w:val="000000"/>
          <w:lang w:eastAsia="ru-RU"/>
        </w:rPr>
        <w:t xml:space="preserve">К примеру, компания могла бы изменить стратегию реализации проекта в случае финансового кризиса и отложить его на определенный период времени, когда инвестиционный климат в стране нормализуется и условия для реализации проекта </w:t>
      </w:r>
      <w:r>
        <w:rPr>
          <w:rFonts w:eastAsia="Times New Roman" w:cstheme="minorHAnsi"/>
          <w:color w:val="000000"/>
          <w:lang w:eastAsia="ru-RU"/>
        </w:rPr>
        <w:t>станут более удачными.</w:t>
      </w:r>
    </w:p>
    <w:p w:rsidR="002069F1" w:rsidRDefault="002069F1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hyperlink r:id="rId13" w:history="1">
        <w:r w:rsidR="00617679" w:rsidRPr="002069F1">
          <w:rPr>
            <w:rStyle w:val="a9"/>
            <w:rFonts w:eastAsia="Times New Roman" w:cstheme="minorHAnsi"/>
            <w:lang w:eastAsia="ru-RU"/>
          </w:rPr>
          <w:t>Р. Брейли, С. Майерс</w:t>
        </w:r>
      </w:hyperlink>
      <w:r w:rsidR="00617679" w:rsidRPr="00617679">
        <w:rPr>
          <w:rFonts w:eastAsia="Times New Roman" w:cstheme="minorHAnsi"/>
          <w:color w:val="000000"/>
          <w:lang w:eastAsia="ru-RU"/>
        </w:rPr>
        <w:t>, рассматривая теорию реальных опционов, считают, что, если компания обладает реальными опционами, которые дают возможность инвестировать деньги в новые прибыльные проекты, рыночная стоимость компании будет больше стоимости имеющихся у нее материальных активов.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Цель применения данного механи</w:t>
      </w:r>
      <w:r w:rsidR="002069F1">
        <w:rPr>
          <w:rFonts w:eastAsia="Times New Roman" w:cstheme="minorHAnsi"/>
          <w:color w:val="000000"/>
          <w:lang w:eastAsia="ru-RU"/>
        </w:rPr>
        <w:t>зма состоит в том, чтобы при на</w:t>
      </w:r>
      <w:r w:rsidRPr="00617679">
        <w:rPr>
          <w:rFonts w:eastAsia="Times New Roman" w:cstheme="minorHAnsi"/>
          <w:color w:val="000000"/>
          <w:lang w:eastAsia="ru-RU"/>
        </w:rPr>
        <w:t>ступлении нежелательных последс</w:t>
      </w:r>
      <w:r w:rsidR="002069F1">
        <w:rPr>
          <w:rFonts w:eastAsia="Times New Roman" w:cstheme="minorHAnsi"/>
          <w:color w:val="000000"/>
          <w:lang w:eastAsia="ru-RU"/>
        </w:rPr>
        <w:t>твий принятых решений или реали</w:t>
      </w:r>
      <w:r w:rsidRPr="00617679">
        <w:rPr>
          <w:rFonts w:eastAsia="Times New Roman" w:cstheme="minorHAnsi"/>
          <w:color w:val="000000"/>
          <w:lang w:eastAsia="ru-RU"/>
        </w:rPr>
        <w:t>зации благоприятной рыночной конъюнктуры менеджмент компании мог реализовать заранее сформированные планы развития инновационных проектов, позволяющие снизить влияние нежелательных факторов риска или испол</w:t>
      </w:r>
      <w:r w:rsidR="002069F1">
        <w:rPr>
          <w:rFonts w:eastAsia="Times New Roman" w:cstheme="minorHAnsi"/>
          <w:color w:val="000000"/>
          <w:lang w:eastAsia="ru-RU"/>
        </w:rPr>
        <w:t>ьзовать их полезное воздействие. П</w:t>
      </w:r>
      <w:r w:rsidRPr="00617679">
        <w:rPr>
          <w:rFonts w:eastAsia="Times New Roman" w:cstheme="minorHAnsi"/>
          <w:color w:val="000000"/>
          <w:lang w:eastAsia="ru-RU"/>
        </w:rPr>
        <w:t>одобный механизм хеджирования инновационной деятельности компании повышает эффективность управления рисками и позволяет участникам экономических отношений точнее разработать стратегию осуще</w:t>
      </w:r>
      <w:r w:rsidR="002069F1">
        <w:rPr>
          <w:rFonts w:eastAsia="Times New Roman" w:cstheme="minorHAnsi"/>
          <w:color w:val="000000"/>
          <w:lang w:eastAsia="ru-RU"/>
        </w:rPr>
        <w:t>ствления эффективных инвестиций.</w:t>
      </w:r>
    </w:p>
    <w:p w:rsidR="00617679" w:rsidRPr="00617679" w:rsidRDefault="002069F1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тоже время, р</w:t>
      </w:r>
      <w:r w:rsidR="00617679" w:rsidRPr="00617679">
        <w:rPr>
          <w:rFonts w:eastAsia="Times New Roman" w:cstheme="minorHAnsi"/>
          <w:color w:val="000000"/>
          <w:lang w:eastAsia="ru-RU"/>
        </w:rPr>
        <w:t>еальные опционы, как инструменты для достижения долгосрочных стратегических целей компании, св</w:t>
      </w:r>
      <w:r>
        <w:rPr>
          <w:rFonts w:eastAsia="Times New Roman" w:cstheme="minorHAnsi"/>
          <w:color w:val="000000"/>
          <w:lang w:eastAsia="ru-RU"/>
        </w:rPr>
        <w:t>язаны с высокими финансовыми за</w:t>
      </w:r>
      <w:r w:rsidR="00D02EAA">
        <w:rPr>
          <w:rFonts w:eastAsia="Times New Roman" w:cstheme="minorHAnsi"/>
          <w:color w:val="000000"/>
          <w:lang w:eastAsia="ru-RU"/>
        </w:rPr>
        <w:t>тратами на свое исполнение.</w:t>
      </w:r>
      <w:r w:rsidR="00617679" w:rsidRPr="00617679">
        <w:rPr>
          <w:rFonts w:eastAsia="Times New Roman" w:cstheme="minorHAnsi"/>
          <w:color w:val="000000"/>
          <w:lang w:eastAsia="ru-RU"/>
        </w:rPr>
        <w:t xml:space="preserve"> </w:t>
      </w:r>
      <w:r w:rsidR="00D02EAA">
        <w:rPr>
          <w:rFonts w:eastAsia="Times New Roman" w:cstheme="minorHAnsi"/>
          <w:color w:val="000000"/>
          <w:lang w:eastAsia="ru-RU"/>
        </w:rPr>
        <w:t>П</w:t>
      </w:r>
      <w:r w:rsidR="00617679" w:rsidRPr="00617679">
        <w:rPr>
          <w:rFonts w:eastAsia="Times New Roman" w:cstheme="minorHAnsi"/>
          <w:color w:val="000000"/>
          <w:lang w:eastAsia="ru-RU"/>
        </w:rPr>
        <w:t>омимо затрат на создание бизнес-плана инновационного проекта и его успешной реализации последуют затраты на создание бизнес-моделей для негативных сценариев развития инновационного проекта компании и методов его корректировки. Также компании придется понести затраты на трансакционные издержки, в данном случае подразумевающие под собой комиссионные и затраты на получение несовершенной информации, которая впоследствии может сыграть роль риска.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lastRenderedPageBreak/>
        <w:t>Реальный опцион имеет ряд отличий от финансового</w:t>
      </w:r>
      <w:r w:rsidR="00D02EAA">
        <w:rPr>
          <w:rFonts w:eastAsia="Times New Roman" w:cstheme="minorHAnsi"/>
          <w:color w:val="000000"/>
          <w:lang w:eastAsia="ru-RU"/>
        </w:rPr>
        <w:t>. Не</w:t>
      </w:r>
      <w:r w:rsidRPr="00617679">
        <w:rPr>
          <w:rFonts w:eastAsia="Times New Roman" w:cstheme="minorHAnsi"/>
          <w:color w:val="000000"/>
          <w:lang w:eastAsia="ru-RU"/>
        </w:rPr>
        <w:t xml:space="preserve"> существует рынка, на котором </w:t>
      </w:r>
      <w:r w:rsidR="00D02EAA">
        <w:rPr>
          <w:rFonts w:eastAsia="Times New Roman" w:cstheme="minorHAnsi"/>
          <w:color w:val="000000"/>
          <w:lang w:eastAsia="ru-RU"/>
        </w:rPr>
        <w:t>реальный опцион торгуется. В</w:t>
      </w:r>
      <w:r w:rsidRPr="00617679">
        <w:rPr>
          <w:rFonts w:eastAsia="Times New Roman" w:cstheme="minorHAnsi"/>
          <w:color w:val="000000"/>
          <w:lang w:eastAsia="ru-RU"/>
        </w:rPr>
        <w:t>ажным п</w:t>
      </w:r>
      <w:r w:rsidR="00D02EAA">
        <w:rPr>
          <w:rFonts w:eastAsia="Times New Roman" w:cstheme="minorHAnsi"/>
          <w:color w:val="000000"/>
          <w:lang w:eastAsia="ru-RU"/>
        </w:rPr>
        <w:t xml:space="preserve">реимуществом реального опциона является </w:t>
      </w:r>
      <w:r w:rsidRPr="00617679">
        <w:rPr>
          <w:rFonts w:eastAsia="Times New Roman" w:cstheme="minorHAnsi"/>
          <w:color w:val="000000"/>
          <w:lang w:eastAsia="ru-RU"/>
        </w:rPr>
        <w:t>возможност</w:t>
      </w:r>
      <w:r w:rsidR="00D02EAA">
        <w:rPr>
          <w:rFonts w:eastAsia="Times New Roman" w:cstheme="minorHAnsi"/>
          <w:color w:val="000000"/>
          <w:lang w:eastAsia="ru-RU"/>
        </w:rPr>
        <w:t>ь</w:t>
      </w:r>
      <w:r w:rsidRPr="00617679">
        <w:rPr>
          <w:rFonts w:eastAsia="Times New Roman" w:cstheme="minorHAnsi"/>
          <w:color w:val="000000"/>
          <w:lang w:eastAsia="ru-RU"/>
        </w:rPr>
        <w:t xml:space="preserve"> влияния менеджмента инновационной к</w:t>
      </w:r>
      <w:r w:rsidR="00D02EAA">
        <w:rPr>
          <w:rFonts w:eastAsia="Times New Roman" w:cstheme="minorHAnsi"/>
          <w:color w:val="000000"/>
          <w:lang w:eastAsia="ru-RU"/>
        </w:rPr>
        <w:t xml:space="preserve">омпании на цену базового актива. </w:t>
      </w:r>
      <w:r w:rsidRPr="00617679">
        <w:rPr>
          <w:rFonts w:eastAsia="Times New Roman" w:cstheme="minorHAnsi"/>
          <w:color w:val="000000"/>
          <w:lang w:eastAsia="ru-RU"/>
        </w:rPr>
        <w:t>Привлекая больший объем инвестиций посредством привлечения более качественных финансовых, кадровых и иных ресурсов, финансовый менеджмент инновационной компании диверсифицирует риск между инициаторами проекта и инвесторами, таким образом уменьшая долю риска в случае неблаг</w:t>
      </w:r>
      <w:r w:rsidR="00D02EAA">
        <w:rPr>
          <w:rFonts w:eastAsia="Times New Roman" w:cstheme="minorHAnsi"/>
          <w:color w:val="000000"/>
          <w:lang w:eastAsia="ru-RU"/>
        </w:rPr>
        <w:t>ожелательного развития событий.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Настоящая стоимость опциона отражает верхнюю границу, выше кото рой предпринимателю невыгодно вкладывать капитал в инвестиционный проект, чтобы получить дополнительную возможность развития, пред</w:t>
      </w:r>
      <w:r w:rsidR="00D02EAA">
        <w:rPr>
          <w:rFonts w:eastAsia="Times New Roman" w:cstheme="minorHAnsi"/>
          <w:color w:val="000000"/>
          <w:lang w:eastAsia="ru-RU"/>
        </w:rPr>
        <w:t>усмотренную условиями опциона.</w:t>
      </w:r>
    </w:p>
    <w:p w:rsidR="00617679" w:rsidRPr="00617679" w:rsidRDefault="00617679" w:rsidP="00D02EA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Т. Коупленд, Т. Коллер, Дж. Муррин выделяют шесть переменных, от которых зависит стоимость реальных опционов:</w:t>
      </w:r>
    </w:p>
    <w:p w:rsidR="00617679" w:rsidRPr="00D02EAA" w:rsidRDefault="00617679" w:rsidP="00D02EAA">
      <w:pPr>
        <w:pStyle w:val="aa"/>
        <w:numPr>
          <w:ilvl w:val="0"/>
          <w:numId w:val="15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D02EAA">
        <w:rPr>
          <w:rFonts w:eastAsia="Times New Roman" w:cstheme="minorHAnsi"/>
          <w:color w:val="000000"/>
          <w:lang w:eastAsia="ru-RU"/>
        </w:rPr>
        <w:t>безрисковой процентной ставки. Чем выше процентная ставка, тем выше стоимость опциона благодаря выигрышу на временной стоимости денег при отсрочке инвестиций; </w:t>
      </w:r>
    </w:p>
    <w:p w:rsidR="00617679" w:rsidRPr="00D02EAA" w:rsidRDefault="00617679" w:rsidP="00D02EAA">
      <w:pPr>
        <w:pStyle w:val="aa"/>
        <w:numPr>
          <w:ilvl w:val="0"/>
          <w:numId w:val="15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D02EAA">
        <w:rPr>
          <w:rFonts w:eastAsia="Times New Roman" w:cstheme="minorHAnsi"/>
          <w:color w:val="000000"/>
          <w:lang w:eastAsia="ru-RU"/>
        </w:rPr>
        <w:t>времени до истечения срока опциона. Чем дольше срок до исполнения опциона, тем полнее можно прояснить неопределенность и, значит, тем выше стоимость опциона;</w:t>
      </w:r>
    </w:p>
    <w:p w:rsidR="00617679" w:rsidRPr="00D02EAA" w:rsidRDefault="00617679" w:rsidP="00D02EAA">
      <w:pPr>
        <w:pStyle w:val="aa"/>
        <w:numPr>
          <w:ilvl w:val="0"/>
          <w:numId w:val="15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D02EAA">
        <w:rPr>
          <w:rFonts w:eastAsia="Times New Roman" w:cstheme="minorHAnsi"/>
          <w:color w:val="000000"/>
          <w:lang w:eastAsia="ru-RU"/>
        </w:rPr>
        <w:t>инвестиции. Чем больше величина инвестиций, тем ниже NPV (в отсутствии гибкости) и, следовательно, тем ниже стоимость опциона;</w:t>
      </w:r>
    </w:p>
    <w:p w:rsidR="00617679" w:rsidRPr="00D02EAA" w:rsidRDefault="00617679" w:rsidP="00D02EAA">
      <w:pPr>
        <w:pStyle w:val="aa"/>
        <w:numPr>
          <w:ilvl w:val="0"/>
          <w:numId w:val="15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D02EAA">
        <w:rPr>
          <w:rFonts w:eastAsia="Times New Roman" w:cstheme="minorHAnsi"/>
          <w:color w:val="000000"/>
          <w:lang w:eastAsia="ru-RU"/>
        </w:rPr>
        <w:t>неопределенность (изменчивость) приведенной стоимости. При наличии управленческой гибкости чем больше неопределенность, тем выше стоимость опциона;</w:t>
      </w:r>
    </w:p>
    <w:p w:rsidR="00617679" w:rsidRPr="00D02EAA" w:rsidRDefault="00617679" w:rsidP="00D02EAA">
      <w:pPr>
        <w:pStyle w:val="aa"/>
        <w:numPr>
          <w:ilvl w:val="0"/>
          <w:numId w:val="15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D02EAA">
        <w:rPr>
          <w:rFonts w:eastAsia="Times New Roman" w:cstheme="minorHAnsi"/>
          <w:color w:val="000000"/>
          <w:lang w:eastAsia="ru-RU"/>
        </w:rPr>
        <w:t>ожидаемая приведенная стоимость денежного потока от инвестиций. Чем выше приведенная стоимость проекта, тем выше NPV (в отсутствие гибкости) и, следовательно, тем выше стоимость опциона;</w:t>
      </w:r>
    </w:p>
    <w:p w:rsidR="00617679" w:rsidRPr="00D02EAA" w:rsidRDefault="00617679" w:rsidP="00617679">
      <w:pPr>
        <w:pStyle w:val="aa"/>
        <w:numPr>
          <w:ilvl w:val="0"/>
          <w:numId w:val="15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D02EAA">
        <w:rPr>
          <w:rFonts w:eastAsia="Times New Roman" w:cstheme="minorHAnsi"/>
          <w:color w:val="000000"/>
          <w:lang w:eastAsia="ru-RU"/>
        </w:rPr>
        <w:t>упущенный денежный поток, доставшийся действующим конкурентам. Чем больше денежный поток, который достается конкурентом, тем, естест</w:t>
      </w:r>
      <w:r w:rsidR="00D02EAA">
        <w:rPr>
          <w:rFonts w:eastAsia="Times New Roman" w:cstheme="minorHAnsi"/>
          <w:color w:val="000000"/>
          <w:lang w:eastAsia="ru-RU"/>
        </w:rPr>
        <w:t>венно, ниже стоимость опциона.</w:t>
      </w:r>
    </w:p>
    <w:p w:rsidR="00617679" w:rsidRPr="00617679" w:rsidRDefault="00D02EAA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617679" w:rsidRPr="00617679">
        <w:rPr>
          <w:rFonts w:eastAsia="Times New Roman" w:cstheme="minorHAnsi"/>
          <w:color w:val="000000"/>
          <w:lang w:eastAsia="ru-RU"/>
        </w:rPr>
        <w:t>тоимость инвестиций с опционом можно разложить на две составляющие: стоимость инвестиций без каких-либо альтернат</w:t>
      </w:r>
      <w:r>
        <w:rPr>
          <w:rFonts w:eastAsia="Times New Roman" w:cstheme="minorHAnsi"/>
          <w:color w:val="000000"/>
          <w:lang w:eastAsia="ru-RU"/>
        </w:rPr>
        <w:t>ивных вариантов и стоимость оп</w:t>
      </w:r>
      <w:r w:rsidR="00617679" w:rsidRPr="00617679">
        <w:rPr>
          <w:rFonts w:eastAsia="Times New Roman" w:cstheme="minorHAnsi"/>
          <w:color w:val="000000"/>
          <w:lang w:eastAsia="ru-RU"/>
        </w:rPr>
        <w:t>цион</w:t>
      </w:r>
      <w:r>
        <w:rPr>
          <w:rFonts w:eastAsia="Times New Roman" w:cstheme="minorHAnsi"/>
          <w:color w:val="000000"/>
          <w:lang w:eastAsia="ru-RU"/>
        </w:rPr>
        <w:t xml:space="preserve">а. </w:t>
      </w:r>
      <w:r w:rsidR="00617679" w:rsidRPr="00617679">
        <w:rPr>
          <w:rFonts w:eastAsia="Times New Roman" w:cstheme="minorHAnsi"/>
          <w:color w:val="000000"/>
          <w:lang w:eastAsia="ru-RU"/>
        </w:rPr>
        <w:t>Реальные опционы могут быть как на стороне активов — и касаться в основном инвестиционных решений, так и на стороне обязательств и собственного капитала — тогда они св</w:t>
      </w:r>
      <w:r>
        <w:rPr>
          <w:rFonts w:eastAsia="Times New Roman" w:cstheme="minorHAnsi"/>
          <w:color w:val="000000"/>
          <w:lang w:eastAsia="ru-RU"/>
        </w:rPr>
        <w:t>язаны с финансовыми решениями.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 xml:space="preserve">Для </w:t>
      </w:r>
      <w:r w:rsidR="00D02EAA">
        <w:rPr>
          <w:rFonts w:eastAsia="Times New Roman" w:cstheme="minorHAnsi"/>
          <w:color w:val="000000"/>
          <w:lang w:eastAsia="ru-RU"/>
        </w:rPr>
        <w:t>потенциально убыточных проектов</w:t>
      </w:r>
      <w:r w:rsidRPr="00617679">
        <w:rPr>
          <w:rFonts w:eastAsia="Times New Roman" w:cstheme="minorHAnsi"/>
          <w:color w:val="000000"/>
          <w:lang w:eastAsia="ru-RU"/>
        </w:rPr>
        <w:t xml:space="preserve"> ценной является возможность покинуть бизнес (остановить проект), получи</w:t>
      </w:r>
      <w:r w:rsidR="004441E5">
        <w:rPr>
          <w:rFonts w:eastAsia="Times New Roman" w:cstheme="minorHAnsi"/>
          <w:color w:val="000000"/>
          <w:lang w:eastAsia="ru-RU"/>
        </w:rPr>
        <w:t>ть</w:t>
      </w:r>
      <w:r w:rsidRPr="00617679">
        <w:rPr>
          <w:rFonts w:eastAsia="Times New Roman" w:cstheme="minorHAnsi"/>
          <w:color w:val="000000"/>
          <w:lang w:eastAsia="ru-RU"/>
        </w:rPr>
        <w:t xml:space="preserve"> за него ликвидную стоимост</w:t>
      </w:r>
      <w:r w:rsidR="004441E5">
        <w:rPr>
          <w:rFonts w:eastAsia="Times New Roman" w:cstheme="minorHAnsi"/>
          <w:color w:val="000000"/>
          <w:lang w:eastAsia="ru-RU"/>
        </w:rPr>
        <w:t xml:space="preserve">ь. </w:t>
      </w:r>
      <w:r w:rsidRPr="00617679">
        <w:rPr>
          <w:rFonts w:eastAsia="Times New Roman" w:cstheme="minorHAnsi"/>
          <w:color w:val="000000"/>
          <w:lang w:eastAsia="ru-RU"/>
        </w:rPr>
        <w:t>Примером опциона на выход является не только возможность выхода из проекта. Это могут быть также различные положения заключаемых договоров, позволяющие при определенных условиях выйти из них (опционы на выхо</w:t>
      </w:r>
      <w:r w:rsidR="004441E5">
        <w:rPr>
          <w:rFonts w:eastAsia="Times New Roman" w:cstheme="minorHAnsi"/>
          <w:color w:val="000000"/>
          <w:lang w:eastAsia="ru-RU"/>
        </w:rPr>
        <w:t>д из контракта). Это также стра</w:t>
      </w:r>
      <w:r w:rsidRPr="00617679">
        <w:rPr>
          <w:rFonts w:eastAsia="Times New Roman" w:cstheme="minorHAnsi"/>
          <w:color w:val="000000"/>
          <w:lang w:eastAsia="ru-RU"/>
        </w:rPr>
        <w:t>хующие гарантии об обратных закупках товара в случае, если на</w:t>
      </w:r>
      <w:r w:rsidR="004441E5">
        <w:rPr>
          <w:rFonts w:eastAsia="Times New Roman" w:cstheme="minorHAnsi"/>
          <w:color w:val="000000"/>
          <w:lang w:eastAsia="ru-RU"/>
        </w:rPr>
        <w:t xml:space="preserve"> него не будет рыночного спроса</w:t>
      </w:r>
      <w:r w:rsidRPr="00617679">
        <w:rPr>
          <w:rFonts w:eastAsia="Times New Roman" w:cstheme="minorHAnsi"/>
          <w:color w:val="000000"/>
          <w:lang w:eastAsia="ru-RU"/>
        </w:rPr>
        <w:t>.</w:t>
      </w:r>
    </w:p>
    <w:p w:rsidR="004441E5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 xml:space="preserve">Реальные опционы на сокращение и на выход являются реальными опционами PUT. Как и финансовые опционы, данные реальные опционы дают право на продажу актива в будущем по фиксированной цене. </w:t>
      </w:r>
    </w:p>
    <w:p w:rsidR="004441E5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Реальный опцион на развитие предоставляет возможность во время реализации инвестиционного проекта скорректировать его в лучшую сторону. Таким образом, компания приобретает COLL-опцион</w:t>
      </w:r>
      <w:r w:rsidR="004441E5">
        <w:rPr>
          <w:rFonts w:eastAsia="Times New Roman" w:cstheme="minorHAnsi"/>
          <w:color w:val="000000"/>
          <w:lang w:eastAsia="ru-RU"/>
        </w:rPr>
        <w:t>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Следующий вид реального опциона — это опцион на отсрочку начала проекта, т.е. возможность отложить и</w:t>
      </w:r>
      <w:r w:rsidR="004441E5">
        <w:rPr>
          <w:rFonts w:eastAsia="Times New Roman" w:cstheme="minorHAnsi"/>
          <w:color w:val="000000"/>
          <w:lang w:eastAsia="ru-RU"/>
        </w:rPr>
        <w:t>нвестиции до получения новой ин</w:t>
      </w:r>
      <w:r w:rsidRPr="00617679">
        <w:rPr>
          <w:rFonts w:eastAsia="Times New Roman" w:cstheme="minorHAnsi"/>
          <w:color w:val="000000"/>
          <w:lang w:eastAsia="ru-RU"/>
        </w:rPr>
        <w:t>формации, необходимой для принятия взвешенно</w:t>
      </w:r>
      <w:r w:rsidR="004441E5">
        <w:rPr>
          <w:rFonts w:eastAsia="Times New Roman" w:cstheme="minorHAnsi"/>
          <w:color w:val="000000"/>
          <w:lang w:eastAsia="ru-RU"/>
        </w:rPr>
        <w:t>го решения.</w:t>
      </w:r>
    </w:p>
    <w:p w:rsidR="004441E5" w:rsidRDefault="004441E5" w:rsidP="004441E5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</w:t>
      </w:r>
      <w:r w:rsidRPr="004441E5">
        <w:rPr>
          <w:rFonts w:eastAsia="Times New Roman" w:cstheme="minorHAnsi"/>
          <w:color w:val="000000"/>
          <w:lang w:eastAsia="ru-RU"/>
        </w:rPr>
        <w:t>лгоритм использования реального опциона</w:t>
      </w:r>
    </w:p>
    <w:p w:rsidR="004441E5" w:rsidRDefault="00617679" w:rsidP="004441E5">
      <w:pPr>
        <w:pStyle w:val="aa"/>
        <w:numPr>
          <w:ilvl w:val="0"/>
          <w:numId w:val="1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4441E5">
        <w:rPr>
          <w:rFonts w:eastAsia="Times New Roman" w:cstheme="minorHAnsi"/>
          <w:color w:val="000000"/>
          <w:lang w:eastAsia="ru-RU"/>
        </w:rPr>
        <w:t>создание опциона</w:t>
      </w:r>
      <w:r w:rsidR="004441E5" w:rsidRPr="004441E5">
        <w:rPr>
          <w:rFonts w:eastAsia="Times New Roman" w:cstheme="minorHAnsi"/>
          <w:color w:val="000000"/>
          <w:lang w:eastAsia="ru-RU"/>
        </w:rPr>
        <w:t xml:space="preserve">; </w:t>
      </w:r>
      <w:r w:rsidRPr="004441E5">
        <w:rPr>
          <w:rFonts w:eastAsia="Times New Roman" w:cstheme="minorHAnsi"/>
          <w:color w:val="000000"/>
          <w:lang w:eastAsia="ru-RU"/>
        </w:rPr>
        <w:t xml:space="preserve">Компании необходимо выбрать </w:t>
      </w:r>
      <w:r w:rsidR="004441E5" w:rsidRPr="004441E5">
        <w:rPr>
          <w:rFonts w:eastAsia="Times New Roman" w:cstheme="minorHAnsi"/>
          <w:color w:val="000000"/>
          <w:lang w:eastAsia="ru-RU"/>
        </w:rPr>
        <w:t>риски, которые она</w:t>
      </w:r>
      <w:r w:rsidRPr="004441E5">
        <w:rPr>
          <w:rFonts w:eastAsia="Times New Roman" w:cstheme="minorHAnsi"/>
          <w:color w:val="000000"/>
          <w:lang w:eastAsia="ru-RU"/>
        </w:rPr>
        <w:t xml:space="preserve"> хотел</w:t>
      </w:r>
      <w:r w:rsidR="004441E5" w:rsidRPr="004441E5">
        <w:rPr>
          <w:rFonts w:eastAsia="Times New Roman" w:cstheme="minorHAnsi"/>
          <w:color w:val="000000"/>
          <w:lang w:eastAsia="ru-RU"/>
        </w:rPr>
        <w:t xml:space="preserve">а бы хеджировать; </w:t>
      </w:r>
      <w:r w:rsidRPr="004441E5">
        <w:rPr>
          <w:rFonts w:eastAsia="Times New Roman" w:cstheme="minorHAnsi"/>
          <w:color w:val="000000"/>
          <w:lang w:eastAsia="ru-RU"/>
        </w:rPr>
        <w:t>ра</w:t>
      </w:r>
      <w:r w:rsidR="004441E5" w:rsidRPr="004441E5">
        <w:rPr>
          <w:rFonts w:eastAsia="Times New Roman" w:cstheme="minorHAnsi"/>
          <w:color w:val="000000"/>
          <w:lang w:eastAsia="ru-RU"/>
        </w:rPr>
        <w:t xml:space="preserve">зработать бизнес-план на случай </w:t>
      </w:r>
      <w:r w:rsidRPr="004441E5">
        <w:rPr>
          <w:rFonts w:eastAsia="Times New Roman" w:cstheme="minorHAnsi"/>
          <w:color w:val="000000"/>
          <w:lang w:eastAsia="ru-RU"/>
        </w:rPr>
        <w:t>использования, утвердить условия и критер</w:t>
      </w:r>
      <w:r w:rsidR="004441E5">
        <w:rPr>
          <w:rFonts w:eastAsia="Times New Roman" w:cstheme="minorHAnsi"/>
          <w:color w:val="000000"/>
          <w:lang w:eastAsia="ru-RU"/>
        </w:rPr>
        <w:t>ии реализации реального опциона;</w:t>
      </w:r>
    </w:p>
    <w:p w:rsidR="004441E5" w:rsidRDefault="00617679" w:rsidP="004441E5">
      <w:pPr>
        <w:pStyle w:val="aa"/>
        <w:numPr>
          <w:ilvl w:val="0"/>
          <w:numId w:val="1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4441E5">
        <w:rPr>
          <w:rFonts w:eastAsia="Times New Roman" w:cstheme="minorHAnsi"/>
          <w:color w:val="000000"/>
          <w:lang w:eastAsia="ru-RU"/>
        </w:rPr>
        <w:t>оценка стоимости реального опциона</w:t>
      </w:r>
      <w:r w:rsidR="004441E5">
        <w:rPr>
          <w:rFonts w:eastAsia="Times New Roman" w:cstheme="minorHAnsi"/>
          <w:color w:val="000000"/>
          <w:lang w:eastAsia="ru-RU"/>
        </w:rPr>
        <w:t>;</w:t>
      </w:r>
    </w:p>
    <w:p w:rsidR="004441E5" w:rsidRDefault="004441E5" w:rsidP="004441E5">
      <w:pPr>
        <w:pStyle w:val="aa"/>
        <w:numPr>
          <w:ilvl w:val="0"/>
          <w:numId w:val="1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</w:t>
      </w:r>
      <w:r w:rsidR="00617679" w:rsidRPr="004441E5">
        <w:rPr>
          <w:rFonts w:eastAsia="Times New Roman" w:cstheme="minorHAnsi"/>
          <w:color w:val="000000"/>
          <w:lang w:eastAsia="ru-RU"/>
        </w:rPr>
        <w:t>еализация реального опциона</w:t>
      </w:r>
      <w:r>
        <w:rPr>
          <w:rFonts w:eastAsia="Times New Roman" w:cstheme="minorHAnsi"/>
          <w:color w:val="000000"/>
          <w:lang w:eastAsia="ru-RU"/>
        </w:rPr>
        <w:t>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По мнению Т.Коупленда, Т.Коллера, Дж.</w:t>
      </w:r>
      <w:r w:rsidR="004441E5">
        <w:rPr>
          <w:rFonts w:eastAsia="Times New Roman" w:cstheme="minorHAnsi"/>
          <w:color w:val="000000"/>
          <w:lang w:eastAsia="ru-RU"/>
        </w:rPr>
        <w:t>Муррина, стоимость опци</w:t>
      </w:r>
      <w:r w:rsidRPr="00617679">
        <w:rPr>
          <w:rFonts w:eastAsia="Times New Roman" w:cstheme="minorHAnsi"/>
          <w:color w:val="000000"/>
          <w:lang w:eastAsia="ru-RU"/>
        </w:rPr>
        <w:t xml:space="preserve">она равна разности между стоимостью проекта, обладающего гибкостью, и стоимостью негибкого проекта. Опционная </w:t>
      </w:r>
      <w:r w:rsidRPr="00617679">
        <w:rPr>
          <w:rFonts w:eastAsia="Times New Roman" w:cstheme="minorHAnsi"/>
          <w:color w:val="000000"/>
          <w:lang w:eastAsia="ru-RU"/>
        </w:rPr>
        <w:lastRenderedPageBreak/>
        <w:t>стоимость проекта — это ожидаемое значение величины, определяемой с учетом вновь поступающей информации в каждый будущий момент времени как наибольшее из дисконтированного денежного потока или нуля.</w:t>
      </w:r>
    </w:p>
    <w:p w:rsidR="00617679" w:rsidRPr="00617679" w:rsidRDefault="00617679" w:rsidP="004441E5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 xml:space="preserve">Для оценки стоимости опционов чаще всего применяется </w:t>
      </w:r>
      <w:hyperlink r:id="rId14" w:history="1">
        <w:r w:rsidRPr="004441E5">
          <w:rPr>
            <w:rStyle w:val="a9"/>
            <w:rFonts w:eastAsia="Times New Roman" w:cstheme="minorHAnsi"/>
            <w:lang w:eastAsia="ru-RU"/>
          </w:rPr>
          <w:t xml:space="preserve">модель Блэка </w:t>
        </w:r>
        <w:r w:rsidR="004441E5" w:rsidRPr="004441E5">
          <w:rPr>
            <w:rStyle w:val="a9"/>
            <w:rFonts w:eastAsia="Times New Roman" w:cstheme="minorHAnsi"/>
            <w:lang w:eastAsia="ru-RU"/>
          </w:rPr>
          <w:t>–</w:t>
        </w:r>
        <w:r w:rsidRPr="004441E5">
          <w:rPr>
            <w:rStyle w:val="a9"/>
            <w:rFonts w:eastAsia="Times New Roman" w:cstheme="minorHAnsi"/>
            <w:lang w:eastAsia="ru-RU"/>
          </w:rPr>
          <w:t xml:space="preserve"> Шоулза</w:t>
        </w:r>
      </w:hyperlink>
      <w:r w:rsidRPr="00617679">
        <w:rPr>
          <w:rFonts w:eastAsia="Times New Roman" w:cstheme="minorHAnsi"/>
          <w:color w:val="000000"/>
          <w:lang w:eastAsia="ru-RU"/>
        </w:rPr>
        <w:t>.</w:t>
      </w:r>
      <w:r w:rsidR="004441E5">
        <w:rPr>
          <w:rFonts w:eastAsia="Times New Roman" w:cstheme="minorHAnsi"/>
          <w:color w:val="000000"/>
          <w:lang w:eastAsia="ru-RU"/>
        </w:rPr>
        <w:t xml:space="preserve"> </w:t>
      </w:r>
      <w:r w:rsidRPr="00617679">
        <w:rPr>
          <w:rFonts w:eastAsia="Times New Roman" w:cstheme="minorHAnsi"/>
          <w:color w:val="000000"/>
          <w:lang w:eastAsia="ru-RU"/>
        </w:rPr>
        <w:t>При расчете стоимости финансового опциона используются следующие переменн</w:t>
      </w:r>
      <w:r w:rsidR="004441E5">
        <w:rPr>
          <w:rFonts w:eastAsia="Times New Roman" w:cstheme="minorHAnsi"/>
          <w:color w:val="000000"/>
          <w:lang w:eastAsia="ru-RU"/>
        </w:rPr>
        <w:t>ые: курс акций; цена исполнения,</w:t>
      </w:r>
      <w:r w:rsidRPr="00617679">
        <w:rPr>
          <w:rFonts w:eastAsia="Times New Roman" w:cstheme="minorHAnsi"/>
          <w:color w:val="000000"/>
          <w:lang w:eastAsia="ru-RU"/>
        </w:rPr>
        <w:t xml:space="preserve"> время истечения срока; безрисковая ст</w:t>
      </w:r>
      <w:r w:rsidR="004441E5">
        <w:rPr>
          <w:rFonts w:eastAsia="Times New Roman" w:cstheme="minorHAnsi"/>
          <w:color w:val="000000"/>
          <w:lang w:eastAsia="ru-RU"/>
        </w:rPr>
        <w:t>авка доходности; волатильность. В оценке сто</w:t>
      </w:r>
      <w:r w:rsidRPr="00617679">
        <w:rPr>
          <w:rFonts w:eastAsia="Times New Roman" w:cstheme="minorHAnsi"/>
          <w:color w:val="000000"/>
          <w:lang w:eastAsia="ru-RU"/>
        </w:rPr>
        <w:t>имости реальных опционов для инновационных компаний произведем замену параметров:</w:t>
      </w:r>
    </w:p>
    <w:p w:rsidR="00617679" w:rsidRPr="004441E5" w:rsidRDefault="00617679" w:rsidP="004441E5">
      <w:pPr>
        <w:pStyle w:val="aa"/>
        <w:numPr>
          <w:ilvl w:val="0"/>
          <w:numId w:val="17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41E5">
        <w:rPr>
          <w:rFonts w:eastAsia="Times New Roman" w:cstheme="minorHAnsi"/>
          <w:color w:val="000000"/>
          <w:lang w:eastAsia="ru-RU"/>
        </w:rPr>
        <w:t>курс акций (V) — дисконтированная стоимость денежных потоков от первоначальных инвестиций;</w:t>
      </w:r>
    </w:p>
    <w:p w:rsidR="00617679" w:rsidRPr="004441E5" w:rsidRDefault="00617679" w:rsidP="004441E5">
      <w:pPr>
        <w:pStyle w:val="aa"/>
        <w:numPr>
          <w:ilvl w:val="0"/>
          <w:numId w:val="17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41E5">
        <w:rPr>
          <w:rFonts w:eastAsia="Times New Roman" w:cstheme="minorHAnsi"/>
          <w:color w:val="000000"/>
          <w:lang w:eastAsia="ru-RU"/>
        </w:rPr>
        <w:t>цена исполнения (X) — объем</w:t>
      </w:r>
      <w:r w:rsidR="004441E5">
        <w:rPr>
          <w:rFonts w:eastAsia="Times New Roman" w:cstheme="minorHAnsi"/>
          <w:color w:val="000000"/>
          <w:lang w:eastAsia="ru-RU"/>
        </w:rPr>
        <w:t xml:space="preserve"> первоначальных инвестиций в ин</w:t>
      </w:r>
      <w:r w:rsidRPr="004441E5">
        <w:rPr>
          <w:rFonts w:eastAsia="Times New Roman" w:cstheme="minorHAnsi"/>
          <w:color w:val="000000"/>
          <w:lang w:eastAsia="ru-RU"/>
        </w:rPr>
        <w:t>новационный проект компании;</w:t>
      </w:r>
    </w:p>
    <w:p w:rsidR="00617679" w:rsidRPr="004441E5" w:rsidRDefault="00617679" w:rsidP="004441E5">
      <w:pPr>
        <w:pStyle w:val="aa"/>
        <w:numPr>
          <w:ilvl w:val="0"/>
          <w:numId w:val="17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41E5">
        <w:rPr>
          <w:rFonts w:eastAsia="Times New Roman" w:cstheme="minorHAnsi"/>
          <w:color w:val="000000"/>
          <w:lang w:eastAsia="ru-RU"/>
        </w:rPr>
        <w:t>время истечения срока (Т) — длительность периода, в течение которого инновационная компания вправе применять реальный опцион;</w:t>
      </w:r>
    </w:p>
    <w:p w:rsidR="00617679" w:rsidRPr="004441E5" w:rsidRDefault="00617679" w:rsidP="004441E5">
      <w:pPr>
        <w:pStyle w:val="aa"/>
        <w:numPr>
          <w:ilvl w:val="0"/>
          <w:numId w:val="17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41E5">
        <w:rPr>
          <w:rFonts w:eastAsia="Times New Roman" w:cstheme="minorHAnsi"/>
          <w:color w:val="000000"/>
          <w:lang w:eastAsia="ru-RU"/>
        </w:rPr>
        <w:t xml:space="preserve">безрисковая ставка </w:t>
      </w:r>
      <w:r w:rsidR="004441E5">
        <w:rPr>
          <w:rFonts w:eastAsia="Times New Roman" w:cstheme="minorHAnsi"/>
          <w:color w:val="000000"/>
          <w:lang w:eastAsia="ru-RU"/>
        </w:rPr>
        <w:t>доходности (</w:t>
      </w:r>
      <w:r w:rsidR="004441E5">
        <w:rPr>
          <w:rFonts w:eastAsia="Times New Roman" w:cstheme="minorHAnsi"/>
          <w:color w:val="000000"/>
          <w:lang w:val="en-US" w:eastAsia="ru-RU"/>
        </w:rPr>
        <w:t>r</w:t>
      </w:r>
      <w:r w:rsidR="004441E5" w:rsidRPr="004441E5">
        <w:rPr>
          <w:rFonts w:eastAsia="Times New Roman" w:cstheme="minorHAnsi"/>
          <w:color w:val="000000"/>
          <w:vertAlign w:val="subscript"/>
          <w:lang w:val="en-US" w:eastAsia="ru-RU"/>
        </w:rPr>
        <w:t>f</w:t>
      </w:r>
      <w:r w:rsidR="004441E5">
        <w:rPr>
          <w:rFonts w:eastAsia="Times New Roman" w:cstheme="minorHAnsi"/>
          <w:color w:val="000000"/>
          <w:lang w:val="en-US" w:eastAsia="ru-RU"/>
        </w:rPr>
        <w:t>)</w:t>
      </w:r>
      <w:r w:rsidRPr="004441E5">
        <w:rPr>
          <w:rFonts w:eastAsia="Times New Roman" w:cstheme="minorHAnsi"/>
          <w:color w:val="000000"/>
          <w:lang w:eastAsia="ru-RU"/>
        </w:rPr>
        <w:t>;</w:t>
      </w:r>
    </w:p>
    <w:p w:rsidR="00617679" w:rsidRPr="004441E5" w:rsidRDefault="004441E5" w:rsidP="004441E5">
      <w:pPr>
        <w:pStyle w:val="aa"/>
        <w:numPr>
          <w:ilvl w:val="0"/>
          <w:numId w:val="17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617679" w:rsidRPr="004441E5">
        <w:rPr>
          <w:rFonts w:eastAsia="Times New Roman" w:cstheme="minorHAnsi"/>
          <w:color w:val="000000"/>
          <w:lang w:eastAsia="ru-RU"/>
        </w:rPr>
        <w:t>олатильность (А</w:t>
      </w:r>
      <w:r>
        <w:rPr>
          <w:rFonts w:eastAsia="Times New Roman" w:cstheme="minorHAnsi"/>
          <w:color w:val="000000"/>
          <w:lang w:eastAsia="ru-RU"/>
        </w:rPr>
        <w:t>̃</w:t>
      </w:r>
      <w:r w:rsidR="00617679" w:rsidRPr="004441E5">
        <w:rPr>
          <w:rFonts w:eastAsia="Times New Roman" w:cstheme="minorHAnsi"/>
          <w:color w:val="000000"/>
          <w:lang w:eastAsia="ru-RU"/>
        </w:rPr>
        <w:t>) — среднеквадратическое отклонение стоимости реализации ин</w:t>
      </w:r>
      <w:r>
        <w:rPr>
          <w:rFonts w:eastAsia="Times New Roman" w:cstheme="minorHAnsi"/>
          <w:color w:val="000000"/>
          <w:lang w:eastAsia="ru-RU"/>
        </w:rPr>
        <w:t>новационного проекта компании.</w:t>
      </w:r>
    </w:p>
    <w:p w:rsidR="00617679" w:rsidRPr="00617679" w:rsidRDefault="004441E5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Стоимость опциона в соответствии с м</w:t>
      </w:r>
      <w:r w:rsidR="00617679" w:rsidRPr="00617679">
        <w:rPr>
          <w:rFonts w:eastAsia="Times New Roman" w:cstheme="minorHAnsi"/>
          <w:color w:val="000000"/>
          <w:lang w:eastAsia="ru-RU"/>
        </w:rPr>
        <w:t>одель</w:t>
      </w:r>
      <w:r>
        <w:rPr>
          <w:rFonts w:eastAsia="Times New Roman" w:cstheme="minorHAnsi"/>
          <w:color w:val="000000"/>
          <w:lang w:eastAsia="ru-RU"/>
        </w:rPr>
        <w:t>ю</w:t>
      </w:r>
      <w:r w:rsidR="00617679" w:rsidRPr="00617679">
        <w:rPr>
          <w:rFonts w:eastAsia="Times New Roman" w:cstheme="minorHAnsi"/>
          <w:color w:val="000000"/>
          <w:lang w:eastAsia="ru-RU"/>
        </w:rPr>
        <w:t xml:space="preserve"> Блэка </w:t>
      </w:r>
      <w:r>
        <w:rPr>
          <w:rFonts w:eastAsia="Times New Roman" w:cstheme="minorHAnsi"/>
          <w:color w:val="000000"/>
          <w:lang w:eastAsia="ru-RU"/>
        </w:rPr>
        <w:t>–</w:t>
      </w:r>
      <w:r w:rsidR="00617679" w:rsidRPr="00617679">
        <w:rPr>
          <w:rFonts w:eastAsia="Times New Roman" w:cstheme="minorHAnsi"/>
          <w:color w:val="000000"/>
          <w:lang w:eastAsia="ru-RU"/>
        </w:rPr>
        <w:t xml:space="preserve"> Шоулза применительно к оценке стоимости реального опциона инновационной компании </w:t>
      </w:r>
      <w:r w:rsidR="00C8490A">
        <w:rPr>
          <w:rFonts w:eastAsia="Times New Roman" w:cstheme="minorHAnsi"/>
          <w:color w:val="000000"/>
          <w:lang w:eastAsia="ru-RU"/>
        </w:rPr>
        <w:t>можно рассчитать по формуле</w:t>
      </w:r>
      <w:r w:rsidR="00617679" w:rsidRPr="00617679">
        <w:rPr>
          <w:rFonts w:eastAsia="Times New Roman" w:cstheme="minorHAnsi"/>
          <w:color w:val="000000"/>
          <w:lang w:eastAsia="ru-RU"/>
        </w:rPr>
        <w:t>:</w:t>
      </w:r>
    </w:p>
    <w:p w:rsidR="00C8490A" w:rsidRPr="00762C09" w:rsidRDefault="00C8490A" w:rsidP="00C8490A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C=</m:t>
          </m:r>
          <m:r>
            <w:rPr>
              <w:rFonts w:ascii="Cambria Math" w:hAnsi="Cambria Math"/>
              <w:lang w:val="en-US"/>
            </w:rPr>
            <m:t>VN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– 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C8490A" w:rsidRPr="00153592" w:rsidRDefault="00C8490A" w:rsidP="00C8490A">
      <w:pPr>
        <w:spacing w:after="120"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d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hAnsi="Cambria Math"/>
                  <w:lang w:val="en-US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rad>
            </m:den>
          </m:f>
        </m:oMath>
      </m:oMathPara>
    </w:p>
    <w:p w:rsidR="00C8490A" w:rsidRPr="00153592" w:rsidRDefault="00C8490A" w:rsidP="00C8490A">
      <w:pPr>
        <w:spacing w:after="120"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– σ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rad>
        </m:oMath>
      </m:oMathPara>
    </w:p>
    <w:p w:rsid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гд</w:t>
      </w:r>
      <w:r w:rsidR="00C8490A">
        <w:rPr>
          <w:rFonts w:eastAsia="Times New Roman" w:cstheme="minorHAnsi"/>
          <w:color w:val="000000"/>
          <w:lang w:eastAsia="ru-RU"/>
        </w:rPr>
        <w:t>е N –</w:t>
      </w:r>
      <w:r w:rsidRPr="00617679">
        <w:rPr>
          <w:rFonts w:eastAsia="Times New Roman" w:cstheme="minorHAnsi"/>
          <w:color w:val="000000"/>
          <w:lang w:eastAsia="ru-RU"/>
        </w:rPr>
        <w:t xml:space="preserve"> вероятности из кумулятивного нормального распределения для</w:t>
      </w:r>
      <w:r w:rsidR="00C8490A" w:rsidRPr="00C8490A">
        <w:rPr>
          <w:rFonts w:eastAsia="Times New Roman" w:cstheme="minorHAnsi"/>
          <w:color w:val="000000"/>
          <w:lang w:eastAsia="ru-RU"/>
        </w:rPr>
        <w:t xml:space="preserve"> </w:t>
      </w:r>
      <w:r w:rsidR="00C8490A">
        <w:rPr>
          <w:rFonts w:eastAsia="Times New Roman" w:cstheme="minorHAnsi"/>
          <w:color w:val="000000"/>
          <w:lang w:eastAsia="ru-RU"/>
        </w:rPr>
        <w:t xml:space="preserve">взвешивания значений V, Х; </w:t>
      </w:r>
      <w:r w:rsidRPr="00617679">
        <w:rPr>
          <w:rFonts w:eastAsia="Times New Roman" w:cstheme="minorHAnsi"/>
          <w:color w:val="000000"/>
          <w:lang w:eastAsia="ru-RU"/>
        </w:rPr>
        <w:t>X</w:t>
      </w:r>
      <w:r w:rsidR="00C8490A" w:rsidRPr="00C8490A">
        <w:rPr>
          <w:rFonts w:eastAsia="Times New Roman" w:cstheme="minorHAnsi"/>
          <w:color w:val="000000"/>
          <w:lang w:eastAsia="ru-RU"/>
        </w:rPr>
        <w:t xml:space="preserve"> –</w:t>
      </w:r>
      <w:r w:rsidRPr="00617679">
        <w:rPr>
          <w:rFonts w:eastAsia="Times New Roman" w:cstheme="minorHAnsi"/>
          <w:color w:val="000000"/>
          <w:lang w:eastAsia="ru-RU"/>
        </w:rPr>
        <w:t xml:space="preserve"> конечная стоимость реального опциона;</w:t>
      </w:r>
      <w:r w:rsidR="00C8490A" w:rsidRPr="00C8490A">
        <w:rPr>
          <w:rFonts w:eastAsia="Times New Roman" w:cstheme="minorHAnsi"/>
          <w:color w:val="000000"/>
          <w:lang w:eastAsia="ru-RU"/>
        </w:rPr>
        <w:t xml:space="preserve"> </w:t>
      </w:r>
      <w:r w:rsidRPr="00617679">
        <w:rPr>
          <w:rFonts w:eastAsia="Times New Roman" w:cstheme="minorHAnsi"/>
          <w:color w:val="000000"/>
          <w:lang w:eastAsia="ru-RU"/>
        </w:rPr>
        <w:t>V</w:t>
      </w:r>
      <w:r w:rsidR="00C8490A" w:rsidRPr="00C8490A">
        <w:rPr>
          <w:rFonts w:eastAsia="Times New Roman" w:cstheme="minorHAnsi"/>
          <w:color w:val="000000"/>
          <w:lang w:eastAsia="ru-RU"/>
        </w:rPr>
        <w:t xml:space="preserve"> –</w:t>
      </w:r>
      <w:r w:rsidRPr="00617679">
        <w:rPr>
          <w:rFonts w:eastAsia="Times New Roman" w:cstheme="minorHAnsi"/>
          <w:color w:val="000000"/>
          <w:lang w:eastAsia="ru-RU"/>
        </w:rPr>
        <w:t xml:space="preserve"> текущ</w:t>
      </w:r>
      <w:r w:rsidR="00C8490A">
        <w:rPr>
          <w:rFonts w:eastAsia="Times New Roman" w:cstheme="minorHAnsi"/>
          <w:color w:val="000000"/>
          <w:lang w:eastAsia="ru-RU"/>
        </w:rPr>
        <w:t>ая стоимость реального опциона; σ</w:t>
      </w:r>
      <w:r w:rsidR="00C8490A" w:rsidRPr="00C8490A">
        <w:rPr>
          <w:rFonts w:eastAsia="Times New Roman" w:cstheme="minorHAnsi"/>
          <w:color w:val="000000"/>
          <w:lang w:eastAsia="ru-RU"/>
        </w:rPr>
        <w:t xml:space="preserve"> — годовое стандартное отклонение цены базовых активов, рассчитывается через умножение стандартного отклонения цены за несколько дней на квадратный корень из 365 (количество дней в году).</w:t>
      </w:r>
    </w:p>
    <w:p w:rsidR="00617679" w:rsidRPr="00617679" w:rsidRDefault="008128B1" w:rsidP="00C8490A">
      <w:pPr>
        <w:pStyle w:val="3"/>
        <w:rPr>
          <w:rFonts w:eastAsia="Times New Roman"/>
          <w:lang w:eastAsia="ru-RU"/>
        </w:rPr>
      </w:pPr>
      <w:r w:rsidRPr="00617679"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>итература</w:t>
      </w:r>
    </w:p>
    <w:p w:rsidR="00617679" w:rsidRPr="00617679" w:rsidRDefault="008128B1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Брейл</w:t>
      </w:r>
      <w:bookmarkStart w:id="0" w:name="_GoBack"/>
      <w:bookmarkEnd w:id="0"/>
      <w:r w:rsidR="00617679" w:rsidRPr="00617679">
        <w:rPr>
          <w:rFonts w:eastAsia="Times New Roman" w:cstheme="minorHAnsi"/>
          <w:color w:val="000000"/>
          <w:lang w:eastAsia="ru-RU"/>
        </w:rPr>
        <w:t xml:space="preserve">и Р., Майерс С. </w:t>
      </w:r>
      <w:hyperlink r:id="rId15" w:history="1">
        <w:r w:rsidR="00617679" w:rsidRPr="00C8490A">
          <w:rPr>
            <w:rStyle w:val="a9"/>
            <w:rFonts w:eastAsia="Times New Roman" w:cstheme="minorHAnsi"/>
            <w:lang w:eastAsia="ru-RU"/>
          </w:rPr>
          <w:t>П</w:t>
        </w:r>
        <w:r w:rsidR="00C8490A" w:rsidRPr="00C8490A">
          <w:rPr>
            <w:rStyle w:val="a9"/>
            <w:rFonts w:eastAsia="Times New Roman" w:cstheme="minorHAnsi"/>
            <w:lang w:eastAsia="ru-RU"/>
          </w:rPr>
          <w:t>ринципы корпоративных финансов</w:t>
        </w:r>
      </w:hyperlink>
      <w:r w:rsidR="00617679" w:rsidRPr="00617679">
        <w:rPr>
          <w:rFonts w:eastAsia="Times New Roman" w:cstheme="minorHAnsi"/>
          <w:color w:val="000000"/>
          <w:lang w:eastAsia="ru-RU"/>
        </w:rPr>
        <w:t>.</w:t>
      </w:r>
      <w:r w:rsidR="00C8490A">
        <w:rPr>
          <w:rFonts w:eastAsia="Times New Roman" w:cstheme="minorHAnsi"/>
          <w:color w:val="000000"/>
          <w:lang w:eastAsia="ru-RU"/>
        </w:rPr>
        <w:t xml:space="preserve"> –</w:t>
      </w:r>
      <w:r w:rsidR="00617679" w:rsidRPr="00617679">
        <w:rPr>
          <w:rFonts w:eastAsia="Times New Roman" w:cstheme="minorHAnsi"/>
          <w:color w:val="000000"/>
          <w:lang w:eastAsia="ru-RU"/>
        </w:rPr>
        <w:t xml:space="preserve"> М</w:t>
      </w:r>
      <w:r w:rsidR="00C8490A">
        <w:rPr>
          <w:rFonts w:eastAsia="Times New Roman" w:cstheme="minorHAnsi"/>
          <w:color w:val="000000"/>
          <w:lang w:eastAsia="ru-RU"/>
        </w:rPr>
        <w:t>.: Олимп-Бизнес, 2010. – 1008 с.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>Дамодаран А. Инвестиционная оценка: Инструменты и методы</w:t>
      </w:r>
      <w:r w:rsidR="00C8490A">
        <w:rPr>
          <w:rFonts w:eastAsia="Times New Roman" w:cstheme="minorHAnsi"/>
          <w:color w:val="000000"/>
          <w:lang w:eastAsia="ru-RU"/>
        </w:rPr>
        <w:t xml:space="preserve"> оценки любых активов.</w:t>
      </w:r>
      <w:r w:rsidRPr="00617679">
        <w:rPr>
          <w:rFonts w:eastAsia="Times New Roman" w:cstheme="minorHAnsi"/>
          <w:color w:val="000000"/>
          <w:lang w:eastAsia="ru-RU"/>
        </w:rPr>
        <w:t xml:space="preserve"> </w:t>
      </w:r>
      <w:r w:rsidR="00C8490A">
        <w:rPr>
          <w:rFonts w:eastAsia="Times New Roman" w:cstheme="minorHAnsi"/>
          <w:color w:val="000000"/>
          <w:lang w:eastAsia="ru-RU"/>
        </w:rPr>
        <w:t xml:space="preserve">– М.: </w:t>
      </w:r>
      <w:r w:rsidRPr="00617679">
        <w:rPr>
          <w:rFonts w:eastAsia="Times New Roman" w:cstheme="minorHAnsi"/>
          <w:color w:val="000000"/>
          <w:lang w:eastAsia="ru-RU"/>
        </w:rPr>
        <w:t xml:space="preserve">Альпина Паблишер, 2014. </w:t>
      </w:r>
      <w:r w:rsidR="00C8490A">
        <w:rPr>
          <w:rFonts w:eastAsia="Times New Roman" w:cstheme="minorHAnsi"/>
          <w:color w:val="000000"/>
          <w:lang w:eastAsia="ru-RU"/>
        </w:rPr>
        <w:t xml:space="preserve">– </w:t>
      </w:r>
      <w:r w:rsidRPr="00617679">
        <w:rPr>
          <w:rFonts w:eastAsia="Times New Roman" w:cstheme="minorHAnsi"/>
          <w:color w:val="000000"/>
          <w:lang w:eastAsia="ru-RU"/>
        </w:rPr>
        <w:t>1316 с.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 xml:space="preserve">Рош Дж. Стоимость компании: </w:t>
      </w:r>
      <w:r w:rsidR="008128B1">
        <w:rPr>
          <w:rFonts w:eastAsia="Times New Roman" w:cstheme="minorHAnsi"/>
          <w:color w:val="000000"/>
          <w:lang w:eastAsia="ru-RU"/>
        </w:rPr>
        <w:t xml:space="preserve">от желаемого к действительному. – </w:t>
      </w:r>
      <w:r w:rsidRPr="00617679">
        <w:rPr>
          <w:rFonts w:eastAsia="Times New Roman" w:cstheme="minorHAnsi"/>
          <w:color w:val="000000"/>
          <w:lang w:eastAsia="ru-RU"/>
        </w:rPr>
        <w:t>Минск: Гревцов Паблишер,</w:t>
      </w:r>
      <w:r w:rsidR="008128B1">
        <w:rPr>
          <w:rFonts w:eastAsia="Times New Roman" w:cstheme="minorHAnsi"/>
          <w:color w:val="000000"/>
          <w:lang w:eastAsia="ru-RU"/>
        </w:rPr>
        <w:t xml:space="preserve"> </w:t>
      </w:r>
      <w:r w:rsidRPr="00617679">
        <w:rPr>
          <w:rFonts w:eastAsia="Times New Roman" w:cstheme="minorHAnsi"/>
          <w:color w:val="000000"/>
          <w:lang w:eastAsia="ru-RU"/>
        </w:rPr>
        <w:t>2008.</w:t>
      </w:r>
      <w:r w:rsidR="008128B1">
        <w:rPr>
          <w:rFonts w:eastAsia="Times New Roman" w:cstheme="minorHAnsi"/>
          <w:color w:val="000000"/>
          <w:lang w:eastAsia="ru-RU"/>
        </w:rPr>
        <w:t xml:space="preserve"> – </w:t>
      </w:r>
      <w:r w:rsidRPr="00617679">
        <w:rPr>
          <w:rFonts w:eastAsia="Times New Roman" w:cstheme="minorHAnsi"/>
          <w:color w:val="000000"/>
          <w:lang w:eastAsia="ru-RU"/>
        </w:rPr>
        <w:t>352 с.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 xml:space="preserve">Коупленд </w:t>
      </w:r>
      <w:r w:rsidR="008128B1">
        <w:rPr>
          <w:rFonts w:eastAsia="Times New Roman" w:cstheme="minorHAnsi"/>
          <w:color w:val="000000"/>
          <w:lang w:eastAsia="ru-RU"/>
        </w:rPr>
        <w:t>Т.</w:t>
      </w:r>
      <w:r w:rsidRPr="00617679">
        <w:rPr>
          <w:rFonts w:eastAsia="Times New Roman" w:cstheme="minorHAnsi"/>
          <w:color w:val="000000"/>
          <w:lang w:eastAsia="ru-RU"/>
        </w:rPr>
        <w:t xml:space="preserve">, Коллер </w:t>
      </w:r>
      <w:r w:rsidR="008128B1">
        <w:rPr>
          <w:rFonts w:eastAsia="Times New Roman" w:cstheme="minorHAnsi"/>
          <w:color w:val="000000"/>
          <w:lang w:eastAsia="ru-RU"/>
        </w:rPr>
        <w:t>Т.</w:t>
      </w:r>
      <w:r w:rsidRPr="00617679">
        <w:rPr>
          <w:rFonts w:eastAsia="Times New Roman" w:cstheme="minorHAnsi"/>
          <w:color w:val="000000"/>
          <w:lang w:eastAsia="ru-RU"/>
        </w:rPr>
        <w:t>, Муррин Дж. Стоимость компаний: оценка и управление.</w:t>
      </w:r>
      <w:r w:rsidR="008128B1">
        <w:rPr>
          <w:rFonts w:eastAsia="Times New Roman" w:cstheme="minorHAnsi"/>
          <w:color w:val="000000"/>
          <w:lang w:eastAsia="ru-RU"/>
        </w:rPr>
        <w:t xml:space="preserve"> –</w:t>
      </w:r>
      <w:r w:rsidRPr="00617679">
        <w:rPr>
          <w:rFonts w:eastAsia="Times New Roman" w:cstheme="minorHAnsi"/>
          <w:color w:val="000000"/>
          <w:lang w:eastAsia="ru-RU"/>
        </w:rPr>
        <w:t xml:space="preserve"> М.: Олимп- Бизнес, 2008. </w:t>
      </w:r>
      <w:r w:rsidR="008128B1">
        <w:rPr>
          <w:rFonts w:eastAsia="Times New Roman" w:cstheme="minorHAnsi"/>
          <w:color w:val="000000"/>
          <w:lang w:eastAsia="ru-RU"/>
        </w:rPr>
        <w:t xml:space="preserve">– </w:t>
      </w:r>
      <w:r w:rsidRPr="00617679">
        <w:rPr>
          <w:rFonts w:eastAsia="Times New Roman" w:cstheme="minorHAnsi"/>
          <w:color w:val="000000"/>
          <w:lang w:eastAsia="ru-RU"/>
        </w:rPr>
        <w:t>576 с.</w:t>
      </w:r>
    </w:p>
    <w:p w:rsidR="00617679" w:rsidRPr="00617679" w:rsidRDefault="008128B1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</w:t>
      </w:r>
      <w:r w:rsidR="00617679" w:rsidRPr="00617679">
        <w:rPr>
          <w:rFonts w:eastAsia="Times New Roman" w:cstheme="minorHAnsi"/>
          <w:color w:val="000000"/>
          <w:lang w:eastAsia="ru-RU"/>
        </w:rPr>
        <w:t>имитовский М. А. Инвестиционные проекты и реальные о</w:t>
      </w:r>
      <w:r>
        <w:rPr>
          <w:rFonts w:eastAsia="Times New Roman" w:cstheme="minorHAnsi"/>
          <w:color w:val="000000"/>
          <w:lang w:eastAsia="ru-RU"/>
        </w:rPr>
        <w:t>пционы на развивающихся рынках. –</w:t>
      </w:r>
      <w:r w:rsidR="00617679" w:rsidRPr="00617679">
        <w:rPr>
          <w:rFonts w:eastAsia="Times New Roman" w:cstheme="minorHAnsi"/>
          <w:color w:val="000000"/>
          <w:lang w:eastAsia="ru-RU"/>
        </w:rPr>
        <w:t xml:space="preserve">М.: Юрайт, 2011.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617679" w:rsidRPr="00617679">
        <w:rPr>
          <w:rFonts w:eastAsia="Times New Roman" w:cstheme="minorHAnsi"/>
          <w:color w:val="000000"/>
          <w:lang w:eastAsia="ru-RU"/>
        </w:rPr>
        <w:t>486 с.</w:t>
      </w:r>
    </w:p>
    <w:p w:rsidR="00617679" w:rsidRPr="00617679" w:rsidRDefault="00617679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 xml:space="preserve">Мобуссин М. Больше, чем вы знаете. Необычный взгляд на мир финансов. </w:t>
      </w:r>
      <w:r w:rsidR="008128B1">
        <w:rPr>
          <w:rFonts w:eastAsia="Times New Roman" w:cstheme="minorHAnsi"/>
          <w:color w:val="000000"/>
          <w:lang w:eastAsia="ru-RU"/>
        </w:rPr>
        <w:t xml:space="preserve">– </w:t>
      </w:r>
      <w:r w:rsidRPr="00617679">
        <w:rPr>
          <w:rFonts w:eastAsia="Times New Roman" w:cstheme="minorHAnsi"/>
          <w:color w:val="000000"/>
          <w:lang w:eastAsia="ru-RU"/>
        </w:rPr>
        <w:t xml:space="preserve">М.: Альпина </w:t>
      </w:r>
      <w:r w:rsidR="008128B1">
        <w:rPr>
          <w:rFonts w:eastAsia="Times New Roman" w:cstheme="minorHAnsi"/>
          <w:color w:val="000000"/>
          <w:lang w:eastAsia="ru-RU"/>
        </w:rPr>
        <w:t>Паблишер</w:t>
      </w:r>
      <w:r w:rsidRPr="00617679">
        <w:rPr>
          <w:rFonts w:eastAsia="Times New Roman" w:cstheme="minorHAnsi"/>
          <w:color w:val="000000"/>
          <w:lang w:eastAsia="ru-RU"/>
        </w:rPr>
        <w:t xml:space="preserve">, 2014. </w:t>
      </w:r>
      <w:r w:rsidR="008128B1">
        <w:rPr>
          <w:rFonts w:eastAsia="Times New Roman" w:cstheme="minorHAnsi"/>
          <w:color w:val="000000"/>
          <w:lang w:eastAsia="ru-RU"/>
        </w:rPr>
        <w:t xml:space="preserve">– </w:t>
      </w:r>
      <w:r w:rsidRPr="00617679">
        <w:rPr>
          <w:rFonts w:eastAsia="Times New Roman" w:cstheme="minorHAnsi"/>
          <w:color w:val="000000"/>
          <w:lang w:eastAsia="ru-RU"/>
        </w:rPr>
        <w:t>410 с.</w:t>
      </w:r>
    </w:p>
    <w:p w:rsidR="008128B1" w:rsidRPr="00143EDD" w:rsidRDefault="00617679" w:rsidP="008128B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17679">
        <w:rPr>
          <w:rFonts w:eastAsia="Times New Roman" w:cstheme="minorHAnsi"/>
          <w:color w:val="000000"/>
          <w:lang w:eastAsia="ru-RU"/>
        </w:rPr>
        <w:t xml:space="preserve">Теннент Д. </w:t>
      </w:r>
      <w:hyperlink r:id="rId16" w:history="1">
        <w:r w:rsidRPr="008128B1">
          <w:rPr>
            <w:rStyle w:val="a9"/>
            <w:rFonts w:eastAsia="Times New Roman" w:cstheme="minorHAnsi"/>
            <w:lang w:eastAsia="ru-RU"/>
          </w:rPr>
          <w:t>Управление денежными пот</w:t>
        </w:r>
        <w:r w:rsidR="008128B1" w:rsidRPr="008128B1">
          <w:rPr>
            <w:rStyle w:val="a9"/>
            <w:rFonts w:eastAsia="Times New Roman" w:cstheme="minorHAnsi"/>
            <w:lang w:eastAsia="ru-RU"/>
          </w:rPr>
          <w:t>оками</w:t>
        </w:r>
      </w:hyperlink>
      <w:r w:rsidR="008128B1">
        <w:rPr>
          <w:rFonts w:eastAsia="Times New Roman" w:cstheme="minorHAnsi"/>
          <w:color w:val="000000"/>
          <w:lang w:eastAsia="ru-RU"/>
        </w:rPr>
        <w:t>: Как не оказаться на мели</w:t>
      </w:r>
      <w:r w:rsidRPr="00617679">
        <w:rPr>
          <w:rFonts w:eastAsia="Times New Roman" w:cstheme="minorHAnsi"/>
          <w:color w:val="000000"/>
          <w:lang w:eastAsia="ru-RU"/>
        </w:rPr>
        <w:t>.</w:t>
      </w:r>
      <w:r w:rsidR="008128B1">
        <w:rPr>
          <w:rFonts w:eastAsia="Times New Roman" w:cstheme="minorHAnsi"/>
          <w:color w:val="000000"/>
          <w:lang w:eastAsia="ru-RU"/>
        </w:rPr>
        <w:t xml:space="preserve"> –</w:t>
      </w:r>
      <w:r w:rsidRPr="00617679">
        <w:rPr>
          <w:rFonts w:eastAsia="Times New Roman" w:cstheme="minorHAnsi"/>
          <w:color w:val="000000"/>
          <w:lang w:eastAsia="ru-RU"/>
        </w:rPr>
        <w:t xml:space="preserve"> М.: Альпина Паблишер, 2014. </w:t>
      </w:r>
      <w:r w:rsidR="008128B1">
        <w:rPr>
          <w:rFonts w:eastAsia="Times New Roman" w:cstheme="minorHAnsi"/>
          <w:color w:val="000000"/>
          <w:lang w:eastAsia="ru-RU"/>
        </w:rPr>
        <w:t xml:space="preserve">– </w:t>
      </w:r>
      <w:r w:rsidRPr="00617679">
        <w:rPr>
          <w:rFonts w:eastAsia="Times New Roman" w:cstheme="minorHAnsi"/>
          <w:color w:val="000000"/>
          <w:lang w:eastAsia="ru-RU"/>
        </w:rPr>
        <w:t>208 с.</w:t>
      </w:r>
    </w:p>
    <w:p w:rsidR="00FA43BC" w:rsidRPr="00143EDD" w:rsidRDefault="00FA43BC" w:rsidP="0061767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</w:p>
    <w:sectPr w:rsidR="00FA43BC" w:rsidRPr="00143EDD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0A" w:rsidRDefault="00C8490A" w:rsidP="000475CD">
      <w:pPr>
        <w:spacing w:after="0" w:line="240" w:lineRule="auto"/>
      </w:pPr>
      <w:r>
        <w:separator/>
      </w:r>
    </w:p>
  </w:endnote>
  <w:endnote w:type="continuationSeparator" w:id="0">
    <w:p w:rsidR="00C8490A" w:rsidRDefault="00C8490A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0A" w:rsidRDefault="00C8490A" w:rsidP="000475CD">
      <w:pPr>
        <w:spacing w:after="0" w:line="240" w:lineRule="auto"/>
      </w:pPr>
      <w:r>
        <w:separator/>
      </w:r>
    </w:p>
  </w:footnote>
  <w:footnote w:type="continuationSeparator" w:id="0">
    <w:p w:rsidR="00C8490A" w:rsidRDefault="00C8490A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B2A96"/>
    <w:multiLevelType w:val="hybridMultilevel"/>
    <w:tmpl w:val="0AC81EE6"/>
    <w:lvl w:ilvl="0" w:tplc="7B10A6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5A7"/>
    <w:multiLevelType w:val="hybridMultilevel"/>
    <w:tmpl w:val="E59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953"/>
    <w:multiLevelType w:val="hybridMultilevel"/>
    <w:tmpl w:val="DA5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27BB6"/>
    <w:multiLevelType w:val="hybridMultilevel"/>
    <w:tmpl w:val="A3D4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29F3"/>
    <w:multiLevelType w:val="hybridMultilevel"/>
    <w:tmpl w:val="528093EA"/>
    <w:lvl w:ilvl="0" w:tplc="DC72A8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5D11"/>
    <w:multiLevelType w:val="hybridMultilevel"/>
    <w:tmpl w:val="747C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A6394"/>
    <w:multiLevelType w:val="hybridMultilevel"/>
    <w:tmpl w:val="04B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4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0859"/>
    <w:rsid w:val="000236E4"/>
    <w:rsid w:val="00023D90"/>
    <w:rsid w:val="00026EE5"/>
    <w:rsid w:val="0003651C"/>
    <w:rsid w:val="00036D6D"/>
    <w:rsid w:val="000403A8"/>
    <w:rsid w:val="000473C1"/>
    <w:rsid w:val="000475CD"/>
    <w:rsid w:val="00086E8D"/>
    <w:rsid w:val="00087130"/>
    <w:rsid w:val="000A6223"/>
    <w:rsid w:val="000B0D63"/>
    <w:rsid w:val="000B0F12"/>
    <w:rsid w:val="000C7D84"/>
    <w:rsid w:val="000D00EB"/>
    <w:rsid w:val="00113534"/>
    <w:rsid w:val="001179BB"/>
    <w:rsid w:val="0013492F"/>
    <w:rsid w:val="00143EDD"/>
    <w:rsid w:val="001609FB"/>
    <w:rsid w:val="00163CE1"/>
    <w:rsid w:val="0017765D"/>
    <w:rsid w:val="00186ABC"/>
    <w:rsid w:val="001C4E9E"/>
    <w:rsid w:val="001D75E3"/>
    <w:rsid w:val="001E2FE2"/>
    <w:rsid w:val="001E311C"/>
    <w:rsid w:val="001E6E0D"/>
    <w:rsid w:val="00202DB2"/>
    <w:rsid w:val="002069F1"/>
    <w:rsid w:val="002078A3"/>
    <w:rsid w:val="00215B27"/>
    <w:rsid w:val="00220EC4"/>
    <w:rsid w:val="00223278"/>
    <w:rsid w:val="002247E2"/>
    <w:rsid w:val="002265B7"/>
    <w:rsid w:val="00243B00"/>
    <w:rsid w:val="0025360A"/>
    <w:rsid w:val="0025671B"/>
    <w:rsid w:val="002633C8"/>
    <w:rsid w:val="00271602"/>
    <w:rsid w:val="00274D75"/>
    <w:rsid w:val="002752B3"/>
    <w:rsid w:val="00291FE8"/>
    <w:rsid w:val="002B1DBF"/>
    <w:rsid w:val="002B4DD3"/>
    <w:rsid w:val="002D62CB"/>
    <w:rsid w:val="002D788D"/>
    <w:rsid w:val="002F0BF8"/>
    <w:rsid w:val="002F5024"/>
    <w:rsid w:val="002F56FC"/>
    <w:rsid w:val="00302F71"/>
    <w:rsid w:val="00324923"/>
    <w:rsid w:val="00335B8C"/>
    <w:rsid w:val="00345C3A"/>
    <w:rsid w:val="00350170"/>
    <w:rsid w:val="00373B15"/>
    <w:rsid w:val="00384FB1"/>
    <w:rsid w:val="003873D0"/>
    <w:rsid w:val="003A1F94"/>
    <w:rsid w:val="003A202C"/>
    <w:rsid w:val="003B52C2"/>
    <w:rsid w:val="003C4E6B"/>
    <w:rsid w:val="003E2B79"/>
    <w:rsid w:val="003E3B4F"/>
    <w:rsid w:val="004066FA"/>
    <w:rsid w:val="004073D4"/>
    <w:rsid w:val="00422155"/>
    <w:rsid w:val="00431E00"/>
    <w:rsid w:val="00434EE4"/>
    <w:rsid w:val="004441E5"/>
    <w:rsid w:val="00477376"/>
    <w:rsid w:val="004825B8"/>
    <w:rsid w:val="0049688C"/>
    <w:rsid w:val="004A191B"/>
    <w:rsid w:val="004B2E15"/>
    <w:rsid w:val="004C3826"/>
    <w:rsid w:val="004C5BB0"/>
    <w:rsid w:val="004D1189"/>
    <w:rsid w:val="004D5D90"/>
    <w:rsid w:val="004E7B38"/>
    <w:rsid w:val="0053441F"/>
    <w:rsid w:val="005379AA"/>
    <w:rsid w:val="005442BE"/>
    <w:rsid w:val="00544968"/>
    <w:rsid w:val="005A5B55"/>
    <w:rsid w:val="005A7B19"/>
    <w:rsid w:val="005B1632"/>
    <w:rsid w:val="005B6151"/>
    <w:rsid w:val="005E4915"/>
    <w:rsid w:val="005F09A3"/>
    <w:rsid w:val="005F392B"/>
    <w:rsid w:val="006052A6"/>
    <w:rsid w:val="00612A2A"/>
    <w:rsid w:val="00617679"/>
    <w:rsid w:val="00627A60"/>
    <w:rsid w:val="00651449"/>
    <w:rsid w:val="00654287"/>
    <w:rsid w:val="006621EC"/>
    <w:rsid w:val="00662E07"/>
    <w:rsid w:val="00670863"/>
    <w:rsid w:val="00673765"/>
    <w:rsid w:val="0067641A"/>
    <w:rsid w:val="006A481E"/>
    <w:rsid w:val="006C5E42"/>
    <w:rsid w:val="00701647"/>
    <w:rsid w:val="00712D06"/>
    <w:rsid w:val="00734115"/>
    <w:rsid w:val="007359D9"/>
    <w:rsid w:val="00760706"/>
    <w:rsid w:val="00767D0E"/>
    <w:rsid w:val="00780F50"/>
    <w:rsid w:val="007828ED"/>
    <w:rsid w:val="007C1463"/>
    <w:rsid w:val="007D794D"/>
    <w:rsid w:val="007F6CF4"/>
    <w:rsid w:val="0080316C"/>
    <w:rsid w:val="008128B1"/>
    <w:rsid w:val="00816AAB"/>
    <w:rsid w:val="008300F1"/>
    <w:rsid w:val="00867857"/>
    <w:rsid w:val="00877A90"/>
    <w:rsid w:val="008820E2"/>
    <w:rsid w:val="008875D0"/>
    <w:rsid w:val="00894277"/>
    <w:rsid w:val="00894ECA"/>
    <w:rsid w:val="008A6D98"/>
    <w:rsid w:val="008B6271"/>
    <w:rsid w:val="008D1023"/>
    <w:rsid w:val="009029FB"/>
    <w:rsid w:val="009174EE"/>
    <w:rsid w:val="009238EC"/>
    <w:rsid w:val="00923980"/>
    <w:rsid w:val="0095568B"/>
    <w:rsid w:val="0096043C"/>
    <w:rsid w:val="00963A39"/>
    <w:rsid w:val="00965F0B"/>
    <w:rsid w:val="00975419"/>
    <w:rsid w:val="00976F59"/>
    <w:rsid w:val="00986D46"/>
    <w:rsid w:val="009A7374"/>
    <w:rsid w:val="009B53B8"/>
    <w:rsid w:val="009D2E10"/>
    <w:rsid w:val="009E4C3F"/>
    <w:rsid w:val="009F22E9"/>
    <w:rsid w:val="00A03D99"/>
    <w:rsid w:val="00A03FA9"/>
    <w:rsid w:val="00A135ED"/>
    <w:rsid w:val="00A13635"/>
    <w:rsid w:val="00A15094"/>
    <w:rsid w:val="00A279F8"/>
    <w:rsid w:val="00A447AC"/>
    <w:rsid w:val="00A60EEF"/>
    <w:rsid w:val="00A8094D"/>
    <w:rsid w:val="00A92F1D"/>
    <w:rsid w:val="00AA48B5"/>
    <w:rsid w:val="00B12791"/>
    <w:rsid w:val="00B14956"/>
    <w:rsid w:val="00B14DF1"/>
    <w:rsid w:val="00B15F0C"/>
    <w:rsid w:val="00B30ACC"/>
    <w:rsid w:val="00B3762D"/>
    <w:rsid w:val="00B4128D"/>
    <w:rsid w:val="00B6699D"/>
    <w:rsid w:val="00B715FE"/>
    <w:rsid w:val="00B82EC8"/>
    <w:rsid w:val="00B830CA"/>
    <w:rsid w:val="00BA4598"/>
    <w:rsid w:val="00BF4C95"/>
    <w:rsid w:val="00BF5289"/>
    <w:rsid w:val="00C07B7B"/>
    <w:rsid w:val="00C147DB"/>
    <w:rsid w:val="00C20C13"/>
    <w:rsid w:val="00C21341"/>
    <w:rsid w:val="00C52EEB"/>
    <w:rsid w:val="00C5315B"/>
    <w:rsid w:val="00C61BC8"/>
    <w:rsid w:val="00C82D4C"/>
    <w:rsid w:val="00C8490A"/>
    <w:rsid w:val="00C935BE"/>
    <w:rsid w:val="00CB5A9E"/>
    <w:rsid w:val="00CC0539"/>
    <w:rsid w:val="00CC497F"/>
    <w:rsid w:val="00CE105A"/>
    <w:rsid w:val="00D02EAA"/>
    <w:rsid w:val="00D14EB6"/>
    <w:rsid w:val="00D26252"/>
    <w:rsid w:val="00D4040B"/>
    <w:rsid w:val="00D42347"/>
    <w:rsid w:val="00D4730E"/>
    <w:rsid w:val="00D53E4B"/>
    <w:rsid w:val="00D55B84"/>
    <w:rsid w:val="00D70F6A"/>
    <w:rsid w:val="00D864EC"/>
    <w:rsid w:val="00DA4227"/>
    <w:rsid w:val="00DA5127"/>
    <w:rsid w:val="00DE3777"/>
    <w:rsid w:val="00DE4179"/>
    <w:rsid w:val="00DF6025"/>
    <w:rsid w:val="00E03206"/>
    <w:rsid w:val="00E07D69"/>
    <w:rsid w:val="00E2021C"/>
    <w:rsid w:val="00E324F8"/>
    <w:rsid w:val="00E411EB"/>
    <w:rsid w:val="00E62A4F"/>
    <w:rsid w:val="00E62AFD"/>
    <w:rsid w:val="00E62E3F"/>
    <w:rsid w:val="00E64A79"/>
    <w:rsid w:val="00E81885"/>
    <w:rsid w:val="00E8482D"/>
    <w:rsid w:val="00E85164"/>
    <w:rsid w:val="00E93261"/>
    <w:rsid w:val="00EA4E47"/>
    <w:rsid w:val="00EB0F70"/>
    <w:rsid w:val="00ED2C5D"/>
    <w:rsid w:val="00F17E00"/>
    <w:rsid w:val="00F41A92"/>
    <w:rsid w:val="00F54E77"/>
    <w:rsid w:val="00F569C0"/>
    <w:rsid w:val="00F65D82"/>
    <w:rsid w:val="00F7131F"/>
    <w:rsid w:val="00F76EDE"/>
    <w:rsid w:val="00F8127F"/>
    <w:rsid w:val="00F82EC3"/>
    <w:rsid w:val="00FA43BC"/>
    <w:rsid w:val="00FB0170"/>
    <w:rsid w:val="00FB473E"/>
    <w:rsid w:val="00FC3B23"/>
    <w:rsid w:val="00FC676B"/>
    <w:rsid w:val="00FD153C"/>
    <w:rsid w:val="00FE33E7"/>
    <w:rsid w:val="00FE4B2B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74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64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rate.ru/laws/20070720_prikaz_mert_256_fso-1_appraisal-approach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7454" TargetMode="External"/><Relationship Id="rId10" Type="http://schemas.openxmlformats.org/officeDocument/2006/relationships/hyperlink" Target="https://www.labirint.ru/books/594868/?p=1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context/detail/id/141308766/?partner=baguzin" TargetMode="External"/><Relationship Id="rId14" Type="http://schemas.openxmlformats.org/officeDocument/2006/relationships/hyperlink" Target="http://baguzin.ru/wp/?p=18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B1C8-D053-4AF3-AA87-D400FD6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2018-08-18T14:54:00Z</cp:lastPrinted>
  <dcterms:created xsi:type="dcterms:W3CDTF">2018-09-08T07:27:00Z</dcterms:created>
  <dcterms:modified xsi:type="dcterms:W3CDTF">2018-09-08T14:17:00Z</dcterms:modified>
</cp:coreProperties>
</file>