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5F3794" w:rsidP="009C512B">
      <w:pPr>
        <w:spacing w:after="240" w:line="240" w:lineRule="auto"/>
        <w:rPr>
          <w:b/>
          <w:sz w:val="28"/>
        </w:rPr>
      </w:pPr>
      <w:r w:rsidRPr="005F3794">
        <w:rPr>
          <w:b/>
          <w:sz w:val="28"/>
        </w:rPr>
        <w:t xml:space="preserve">Глава 16. SUMX() и другие </w:t>
      </w:r>
      <w:r>
        <w:rPr>
          <w:b/>
          <w:sz w:val="28"/>
        </w:rPr>
        <w:t>X функции (</w:t>
      </w:r>
      <w:r w:rsidR="00B77DD6">
        <w:rPr>
          <w:b/>
          <w:sz w:val="28"/>
        </w:rPr>
        <w:t>итераторы</w:t>
      </w:r>
      <w:r>
        <w:rPr>
          <w:b/>
          <w:sz w:val="28"/>
        </w:rPr>
        <w:t>)</w:t>
      </w:r>
    </w:p>
    <w:p w:rsidR="007876B9" w:rsidRDefault="007876B9" w:rsidP="009C512B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5E7948" w:rsidP="009C512B">
      <w:pPr>
        <w:spacing w:after="120" w:line="240" w:lineRule="auto"/>
      </w:pPr>
      <w:hyperlink r:id="rId8" w:history="1">
        <w:r w:rsidR="00E97923" w:rsidRPr="005F3794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095D6E" w:rsidRDefault="005E7948" w:rsidP="00095D6E">
      <w:pPr>
        <w:spacing w:after="120" w:line="240" w:lineRule="auto"/>
      </w:pPr>
      <w:hyperlink r:id="rId10" w:anchor="SalperDay" w:history="1">
        <w:r w:rsidR="00095D6E" w:rsidRPr="00095D6E">
          <w:rPr>
            <w:rStyle w:val="aa"/>
          </w:rPr>
          <w:t>Ранее</w:t>
        </w:r>
      </w:hyperlink>
      <w:r w:rsidR="00095D6E">
        <w:t xml:space="preserve"> мы ввели меру </w:t>
      </w:r>
      <w:r w:rsidR="00095D6E" w:rsidRPr="00095D6E">
        <w:t>[Sales per Day]</w:t>
      </w:r>
      <w:r w:rsidR="00095D6E">
        <w:t>:</w:t>
      </w:r>
    </w:p>
    <w:p w:rsidR="00095D6E" w:rsidRDefault="00D25DCA" w:rsidP="00095D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13987" cy="3776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6.1. Промежуточные итоги не соответствуют сумме входящих в них частей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271"/>
                    <a:stretch/>
                  </pic:blipFill>
                  <pic:spPr bwMode="auto">
                    <a:xfrm>
                      <a:off x="0" y="0"/>
                      <a:ext cx="3514725" cy="377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6E" w:rsidRDefault="00095D6E" w:rsidP="00095D6E">
      <w:pPr>
        <w:spacing w:after="120" w:line="240" w:lineRule="auto"/>
      </w:pPr>
      <w:r>
        <w:t>Рис. 1</w:t>
      </w:r>
      <w:r w:rsidRPr="00095D6E">
        <w:t>6</w:t>
      </w:r>
      <w:r>
        <w:t>.1.</w:t>
      </w:r>
      <w:r w:rsidRPr="00095D6E">
        <w:t xml:space="preserve"> </w:t>
      </w:r>
      <w:r>
        <w:t>П</w:t>
      </w:r>
      <w:r w:rsidRPr="00095D6E">
        <w:t xml:space="preserve">ромежуточные итоги не соответствуют сумме </w:t>
      </w:r>
      <w:r w:rsidR="00D25DCA">
        <w:t xml:space="preserve">входящих в них </w:t>
      </w:r>
      <w:r w:rsidRPr="00095D6E">
        <w:t>частей</w:t>
      </w:r>
    </w:p>
    <w:p w:rsidR="00095D6E" w:rsidRDefault="00D25DCA" w:rsidP="00095D6E">
      <w:pPr>
        <w:spacing w:after="120" w:line="240" w:lineRule="auto"/>
      </w:pPr>
      <w:r>
        <w:t>В то время</w:t>
      </w:r>
      <w:r w:rsidR="00095D6E">
        <w:t>, как</w:t>
      </w:r>
      <w:r>
        <w:t xml:space="preserve"> ваши</w:t>
      </w:r>
      <w:r w:rsidR="00095D6E">
        <w:t xml:space="preserve"> </w:t>
      </w:r>
      <w:r>
        <w:t>меры</w:t>
      </w:r>
      <w:r w:rsidR="00095D6E">
        <w:t xml:space="preserve"> будут усложняться, </w:t>
      </w:r>
      <w:r>
        <w:t>такое несоответствие будет происходить все чаще и чаще</w:t>
      </w:r>
      <w:r w:rsidR="009357F4">
        <w:t>.</w:t>
      </w:r>
      <w:r w:rsidR="00095D6E">
        <w:t xml:space="preserve"> </w:t>
      </w:r>
      <w:r w:rsidR="009357F4">
        <w:t>В</w:t>
      </w:r>
      <w:r w:rsidR="00095D6E">
        <w:t xml:space="preserve"> </w:t>
      </w:r>
      <w:r>
        <w:t xml:space="preserve">нашем примере это происходит потому, что мера </w:t>
      </w:r>
      <w:r w:rsidRPr="00095D6E">
        <w:t>[Sales per Day]</w:t>
      </w:r>
      <w:r>
        <w:t xml:space="preserve"> </w:t>
      </w:r>
      <w:r w:rsidR="00095D6E">
        <w:t>име</w:t>
      </w:r>
      <w:r>
        <w:t>е</w:t>
      </w:r>
      <w:r w:rsidR="00095D6E">
        <w:t>т различный знаменатель для каждо</w:t>
      </w:r>
      <w:r>
        <w:t>й</w:t>
      </w:r>
      <w:r w:rsidR="00095D6E">
        <w:t xml:space="preserve"> модели</w:t>
      </w:r>
      <w:r>
        <w:t xml:space="preserve"> – число дней продаж</w:t>
      </w:r>
      <w:r w:rsidR="00095D6E">
        <w:t>.</w:t>
      </w:r>
      <w:r>
        <w:t xml:space="preserve"> Аналогично, е</w:t>
      </w:r>
      <w:r w:rsidR="00095D6E">
        <w:t>сли у вас есть средняя температура для 12 месяцев в году, усреднени</w:t>
      </w:r>
      <w:r>
        <w:t>е</w:t>
      </w:r>
      <w:r w:rsidR="00095D6E">
        <w:t xml:space="preserve"> этих чисел не даст вам среднюю температуру за год, так как каждый месяц состоит из разного количества дней.</w:t>
      </w:r>
    </w:p>
    <w:p w:rsidR="00E13BE7" w:rsidRDefault="00D25DCA" w:rsidP="00095D6E">
      <w:pPr>
        <w:spacing w:after="120" w:line="240" w:lineRule="auto"/>
      </w:pPr>
      <w:r>
        <w:t>В общем случае</w:t>
      </w:r>
      <w:r w:rsidR="00095D6E">
        <w:t xml:space="preserve"> правильная логика для наименьшей детализации не </w:t>
      </w:r>
      <w:r>
        <w:t xml:space="preserve">всегда </w:t>
      </w:r>
      <w:r w:rsidR="00095D6E">
        <w:t>является правильной для следующего уровня.</w:t>
      </w:r>
      <w:r w:rsidR="009357F4">
        <w:t xml:space="preserve"> </w:t>
      </w:r>
      <w:r w:rsidR="00095D6E">
        <w:t xml:space="preserve">Другими словами, иногда </w:t>
      </w:r>
      <w:r w:rsidR="009357F4">
        <w:t>вы нуждаетесь в том, чтобы сумма</w:t>
      </w:r>
      <w:r w:rsidR="00095D6E">
        <w:t xml:space="preserve"> (или средн</w:t>
      </w:r>
      <w:r w:rsidR="009357F4">
        <w:t>ее</w:t>
      </w:r>
      <w:r w:rsidR="00095D6E">
        <w:t xml:space="preserve">) </w:t>
      </w:r>
      <w:r w:rsidR="009357F4">
        <w:t xml:space="preserve">итогов равнялось сумме составляющих. </w:t>
      </w:r>
      <w:r w:rsidR="00095D6E">
        <w:t xml:space="preserve">SUMX() и другие подобные </w:t>
      </w:r>
      <w:r w:rsidR="009357F4">
        <w:t xml:space="preserve">X-функции </w:t>
      </w:r>
      <w:r w:rsidR="00095D6E">
        <w:t>помогут вам в этом.</w:t>
      </w:r>
    </w:p>
    <w:p w:rsidR="009357F4" w:rsidRDefault="009357F4" w:rsidP="009357F4">
      <w:pPr>
        <w:spacing w:after="120" w:line="240" w:lineRule="auto"/>
      </w:pPr>
      <w:r>
        <w:t>Функция SUMX() имеет два аргумента (рис. 16.2):</w:t>
      </w:r>
    </w:p>
    <w:p w:rsidR="009357F4" w:rsidRPr="009357F4" w:rsidRDefault="009357F4" w:rsidP="009357F4">
      <w:pPr>
        <w:spacing w:after="120" w:line="240" w:lineRule="auto"/>
        <w:rPr>
          <w:lang w:val="en-US"/>
        </w:rPr>
      </w:pPr>
      <w:r w:rsidRPr="009357F4">
        <w:rPr>
          <w:lang w:val="en-US"/>
        </w:rPr>
        <w:t>SUMX(&lt;table or table expressions</w:t>
      </w:r>
      <w:r>
        <w:rPr>
          <w:lang w:val="en-US"/>
        </w:rPr>
        <w:t>&gt;</w:t>
      </w:r>
      <w:r w:rsidRPr="009357F4">
        <w:rPr>
          <w:lang w:val="en-US"/>
        </w:rPr>
        <w:t>; &lt;arithmetic expression&gt;)</w:t>
      </w:r>
    </w:p>
    <w:p w:rsidR="009357F4" w:rsidRDefault="009357F4" w:rsidP="009357F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529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6.2. Синтаксис функции SUMX(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F4" w:rsidRDefault="009357F4" w:rsidP="009357F4">
      <w:pPr>
        <w:spacing w:after="120" w:line="240" w:lineRule="auto"/>
      </w:pPr>
      <w:r>
        <w:t>Рис. 16.2. Синтаксис функции SUMX()</w:t>
      </w:r>
    </w:p>
    <w:p w:rsidR="00E158ED" w:rsidRDefault="009357F4" w:rsidP="00E158ED">
      <w:pPr>
        <w:spacing w:after="0" w:line="240" w:lineRule="auto"/>
      </w:pPr>
      <w:r>
        <w:lastRenderedPageBreak/>
        <w:t>SU</w:t>
      </w:r>
      <w:r w:rsidR="00E158ED">
        <w:t>MX() работает следующим образом:</w:t>
      </w:r>
    </w:p>
    <w:p w:rsidR="00E158ED" w:rsidRDefault="00E158ED" w:rsidP="00E158ED">
      <w:pPr>
        <w:pStyle w:val="a9"/>
        <w:numPr>
          <w:ilvl w:val="0"/>
          <w:numId w:val="4"/>
        </w:numPr>
        <w:spacing w:after="120" w:line="240" w:lineRule="auto"/>
      </w:pPr>
      <w:r>
        <w:t>Она идет</w:t>
      </w:r>
      <w:r w:rsidR="009357F4">
        <w:t xml:space="preserve"> по каждой строке </w:t>
      </w:r>
      <w:r>
        <w:t>таблицы, беря одну за раз</w:t>
      </w:r>
      <w:r w:rsidR="009357F4">
        <w:t xml:space="preserve">. </w:t>
      </w:r>
      <w:r>
        <w:t>В первый аргумент</w:t>
      </w:r>
      <w:r w:rsidR="009357F4">
        <w:t xml:space="preserve"> можно передать имя таблицы или использовать функцию, возвращающую таблицу, например VALUES() или FILTER(). Содержимое </w:t>
      </w:r>
      <w:r>
        <w:t>таблицы</w:t>
      </w:r>
      <w:r w:rsidR="009357F4">
        <w:t xml:space="preserve"> зависит от контекста фильтра текущей ячейки меры. </w:t>
      </w:r>
      <w:r>
        <w:t>Такое</w:t>
      </w:r>
      <w:r w:rsidR="009357F4">
        <w:t xml:space="preserve"> пошагово</w:t>
      </w:r>
      <w:r>
        <w:t xml:space="preserve">е поведения часто описывают как </w:t>
      </w:r>
      <w:r w:rsidR="009357F4">
        <w:t>перебор</w:t>
      </w:r>
      <w:r>
        <w:t xml:space="preserve"> или итерации.</w:t>
      </w:r>
    </w:p>
    <w:p w:rsidR="00E158ED" w:rsidRDefault="00E158ED" w:rsidP="00E158ED">
      <w:pPr>
        <w:pStyle w:val="a9"/>
        <w:numPr>
          <w:ilvl w:val="0"/>
          <w:numId w:val="4"/>
        </w:numPr>
        <w:spacing w:after="120" w:line="240" w:lineRule="auto"/>
      </w:pPr>
      <w:r>
        <w:t>Для каждой строки вычисляется арифметическое выражение</w:t>
      </w:r>
      <w:r w:rsidR="009357F4">
        <w:t xml:space="preserve"> с использованием контекста фильтра текущей строки.</w:t>
      </w:r>
    </w:p>
    <w:p w:rsidR="009357F4" w:rsidRDefault="00E158ED" w:rsidP="00E158ED">
      <w:pPr>
        <w:pStyle w:val="a9"/>
        <w:numPr>
          <w:ilvl w:val="0"/>
          <w:numId w:val="4"/>
        </w:numPr>
        <w:spacing w:after="120" w:line="240" w:lineRule="auto"/>
      </w:pPr>
      <w:r>
        <w:t>Функция з</w:t>
      </w:r>
      <w:r w:rsidR="009357F4">
        <w:t>апоминает результат арифметическо</w:t>
      </w:r>
      <w:r>
        <w:t>го</w:t>
      </w:r>
      <w:r w:rsidR="009357F4">
        <w:t xml:space="preserve"> выражени</w:t>
      </w:r>
      <w:r>
        <w:t>я</w:t>
      </w:r>
      <w:r w:rsidR="009357F4">
        <w:t xml:space="preserve"> из каждой строки, и когда </w:t>
      </w:r>
      <w:r>
        <w:t>все строки просмотрены возвращает сумму арифметических выражений.</w:t>
      </w:r>
    </w:p>
    <w:p w:rsidR="00E158ED" w:rsidRPr="00E158ED" w:rsidRDefault="00E158ED" w:rsidP="00E158ED">
      <w:pPr>
        <w:pStyle w:val="3"/>
      </w:pPr>
      <w:r w:rsidRPr="00E158ED">
        <w:rPr>
          <w:lang w:val="en-US"/>
        </w:rPr>
        <w:t>SUMX</w:t>
      </w:r>
      <w:r w:rsidRPr="00E158ED">
        <w:t>() в действии</w:t>
      </w:r>
    </w:p>
    <w:p w:rsidR="00E158ED" w:rsidRPr="00E158ED" w:rsidRDefault="00E158ED" w:rsidP="00E158ED">
      <w:pPr>
        <w:spacing w:after="120" w:line="240" w:lineRule="auto"/>
      </w:pPr>
      <w:r w:rsidRPr="00E158ED">
        <w:t xml:space="preserve">Возвращаясь к </w:t>
      </w:r>
      <w:r>
        <w:t xml:space="preserve">рис. 16.1 </w:t>
      </w:r>
      <w:r w:rsidRPr="00E158ED">
        <w:t>напишем новую меру:</w:t>
      </w:r>
    </w:p>
    <w:p w:rsidR="00E158ED" w:rsidRPr="00E158ED" w:rsidRDefault="00E158ED" w:rsidP="00E158ED">
      <w:pPr>
        <w:spacing w:after="0" w:line="240" w:lineRule="auto"/>
        <w:rPr>
          <w:lang w:val="en-US"/>
        </w:rPr>
      </w:pPr>
      <w:r w:rsidRPr="00E158ED">
        <w:rPr>
          <w:lang w:val="en-US"/>
        </w:rPr>
        <w:t>[Sales per Day Totals Add Up] =</w:t>
      </w:r>
    </w:p>
    <w:p w:rsidR="00E158ED" w:rsidRPr="00E158ED" w:rsidRDefault="00E158ED" w:rsidP="00E158ED">
      <w:pPr>
        <w:spacing w:after="0" w:line="240" w:lineRule="auto"/>
        <w:ind w:firstLine="708"/>
        <w:rPr>
          <w:lang w:val="en-US"/>
        </w:rPr>
      </w:pPr>
      <w:r w:rsidRPr="00E158ED">
        <w:rPr>
          <w:lang w:val="en-US"/>
        </w:rPr>
        <w:t>SUMX(</w:t>
      </w:r>
      <w:r>
        <w:rPr>
          <w:lang w:val="en-US"/>
        </w:rPr>
        <w:t>VALUES(Products[ModelName]);</w:t>
      </w:r>
    </w:p>
    <w:p w:rsidR="00E158ED" w:rsidRPr="00E158ED" w:rsidRDefault="005E7948" w:rsidP="00E158ED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[Sales per Day]</w:t>
      </w:r>
      <w:r w:rsidR="00E158ED" w:rsidRPr="00E158ED">
        <w:rPr>
          <w:lang w:val="en-US"/>
        </w:rPr>
        <w:t>)</w:t>
      </w:r>
    </w:p>
    <w:p w:rsidR="00E158ED" w:rsidRPr="00E158ED" w:rsidRDefault="00E158ED" w:rsidP="00E158ED">
      <w:pPr>
        <w:spacing w:after="120" w:line="240" w:lineRule="auto"/>
      </w:pPr>
      <w:r w:rsidRPr="00E158ED">
        <w:t>)</w:t>
      </w:r>
    </w:p>
    <w:p w:rsidR="00E158ED" w:rsidRPr="00E158ED" w:rsidRDefault="00E158ED" w:rsidP="00E158ED">
      <w:pPr>
        <w:spacing w:after="120" w:line="240" w:lineRule="auto"/>
      </w:pPr>
      <w:r w:rsidRPr="00E158ED">
        <w:t>Обратите вниман</w:t>
      </w:r>
      <w:r>
        <w:t xml:space="preserve">ие, что мы использовали </w:t>
      </w:r>
      <w:r>
        <w:rPr>
          <w:lang w:val="en-US"/>
        </w:rPr>
        <w:t>VALUES</w:t>
      </w:r>
      <w:r w:rsidRPr="00E158ED">
        <w:t>(</w:t>
      </w:r>
      <w:r w:rsidRPr="00E158ED">
        <w:rPr>
          <w:lang w:val="en-US"/>
        </w:rPr>
        <w:t>Products</w:t>
      </w:r>
      <w:r w:rsidRPr="00E158ED">
        <w:t>[</w:t>
      </w:r>
      <w:r w:rsidRPr="00E158ED">
        <w:rPr>
          <w:lang w:val="en-US"/>
        </w:rPr>
        <w:t>ModelName</w:t>
      </w:r>
      <w:r w:rsidRPr="00E158ED">
        <w:t>]) для аргумента &lt;</w:t>
      </w:r>
      <w:r w:rsidR="00AB6F0C">
        <w:t>таблица</w:t>
      </w:r>
      <w:r w:rsidRPr="00E158ED">
        <w:t xml:space="preserve">&gt;. Это позволяет нам быть очень </w:t>
      </w:r>
      <w:r w:rsidR="00AB6F0C">
        <w:t>точными</w:t>
      </w:r>
      <w:r w:rsidRPr="00E158ED">
        <w:t xml:space="preserve"> </w:t>
      </w:r>
      <w:r w:rsidR="00AB6F0C">
        <w:t>–</w:t>
      </w:r>
      <w:r w:rsidRPr="00E158ED">
        <w:t xml:space="preserve"> мы хотим, чтобы </w:t>
      </w:r>
      <w:r w:rsidRPr="00E158ED">
        <w:rPr>
          <w:lang w:val="en-US"/>
        </w:rPr>
        <w:t>SUMX</w:t>
      </w:r>
      <w:r w:rsidRPr="00E158ED">
        <w:t xml:space="preserve">() прошла через все уникальные значения </w:t>
      </w:r>
      <w:r w:rsidRPr="00E158ED">
        <w:rPr>
          <w:lang w:val="en-US"/>
        </w:rPr>
        <w:t>ModelName</w:t>
      </w:r>
      <w:r w:rsidRPr="00E158ED">
        <w:t xml:space="preserve"> из текущего контекста фильтра. Если </w:t>
      </w:r>
      <w:r w:rsidR="00AB6F0C">
        <w:t>же</w:t>
      </w:r>
      <w:r w:rsidRPr="00E158ED">
        <w:t xml:space="preserve"> указать всю таблицу </w:t>
      </w:r>
      <w:r w:rsidRPr="00E158ED">
        <w:rPr>
          <w:lang w:val="en-US"/>
        </w:rPr>
        <w:t>Products</w:t>
      </w:r>
      <w:r w:rsidRPr="00E158ED">
        <w:t xml:space="preserve"> (и не использовать функцию </w:t>
      </w:r>
      <w:r w:rsidRPr="00E158ED">
        <w:rPr>
          <w:lang w:val="en-US"/>
        </w:rPr>
        <w:t>VALUES</w:t>
      </w:r>
      <w:r w:rsidRPr="00E158ED">
        <w:t xml:space="preserve">), </w:t>
      </w:r>
      <w:r w:rsidRPr="00E158ED">
        <w:rPr>
          <w:lang w:val="en-US"/>
        </w:rPr>
        <w:t>SUMX</w:t>
      </w:r>
      <w:r w:rsidRPr="00E158ED">
        <w:t xml:space="preserve">() будет проходить через каждую строку таблицы </w:t>
      </w:r>
      <w:r w:rsidRPr="00E158ED">
        <w:rPr>
          <w:lang w:val="en-US"/>
        </w:rPr>
        <w:t>Products</w:t>
      </w:r>
      <w:r w:rsidR="00AB6F0C">
        <w:t xml:space="preserve"> из текущего контекста фильтра. В первом и втором случае мы получим </w:t>
      </w:r>
      <w:r w:rsidRPr="00E158ED">
        <w:t>разн</w:t>
      </w:r>
      <w:r w:rsidR="00AB6F0C">
        <w:t>ое</w:t>
      </w:r>
      <w:r w:rsidRPr="00E158ED">
        <w:t xml:space="preserve"> число строк</w:t>
      </w:r>
      <w:r w:rsidR="00AB6F0C">
        <w:t xml:space="preserve"> в аргументе </w:t>
      </w:r>
      <w:r w:rsidR="00AB6F0C" w:rsidRPr="00E158ED">
        <w:t>&lt;</w:t>
      </w:r>
      <w:r w:rsidR="00AB6F0C">
        <w:t>таблица</w:t>
      </w:r>
      <w:r w:rsidR="00AB6F0C" w:rsidRPr="00E158ED">
        <w:t>&gt;</w:t>
      </w:r>
      <w:r w:rsidR="00AB6F0C">
        <w:t>.</w:t>
      </w:r>
    </w:p>
    <w:p w:rsidR="00AB6F0C" w:rsidRDefault="00AB6F0C" w:rsidP="00E158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72075" cy="417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6.3. Для новой меры значение итогов равно сумме значений для отдельных моделе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0C" w:rsidRDefault="00AB6F0C" w:rsidP="00E158ED">
      <w:pPr>
        <w:spacing w:after="120" w:line="240" w:lineRule="auto"/>
      </w:pPr>
      <w:r>
        <w:t>Рис. 16.3.</w:t>
      </w:r>
      <w:r w:rsidR="00E158ED" w:rsidRPr="00E158ED">
        <w:t xml:space="preserve"> </w:t>
      </w:r>
      <w:r>
        <w:t xml:space="preserve">Для новой </w:t>
      </w:r>
      <w:r w:rsidRPr="00AB6F0C">
        <w:t>мер</w:t>
      </w:r>
      <w:r>
        <w:t>ы</w:t>
      </w:r>
      <w:r w:rsidRPr="00AB6F0C">
        <w:t xml:space="preserve"> </w:t>
      </w:r>
      <w:r>
        <w:t>значение итогов равно сумме</w:t>
      </w:r>
      <w:r w:rsidRPr="00AB6F0C">
        <w:t xml:space="preserve"> </w:t>
      </w:r>
      <w:r>
        <w:t xml:space="preserve">значений для </w:t>
      </w:r>
      <w:r w:rsidRPr="00AB6F0C">
        <w:t>отдельных моделей</w:t>
      </w:r>
    </w:p>
    <w:p w:rsidR="00DE7C4B" w:rsidRDefault="001D483A" w:rsidP="001D483A">
      <w:pPr>
        <w:pStyle w:val="3"/>
      </w:pPr>
      <w:r>
        <w:t xml:space="preserve">Остановимся на работе функции </w:t>
      </w:r>
      <w:r w:rsidRPr="00E158ED">
        <w:rPr>
          <w:lang w:val="en-US"/>
        </w:rPr>
        <w:t>SUMX</w:t>
      </w:r>
      <w:r w:rsidRPr="00E158ED">
        <w:t xml:space="preserve">() </w:t>
      </w:r>
      <w:r>
        <w:t>п</w:t>
      </w:r>
      <w:r w:rsidR="00DE7C4B">
        <w:t>одробн</w:t>
      </w:r>
      <w:r>
        <w:t>ее</w:t>
      </w:r>
    </w:p>
    <w:p w:rsidR="003E1248" w:rsidRPr="003E1248" w:rsidRDefault="001D483A" w:rsidP="003E1248">
      <w:pPr>
        <w:spacing w:after="120" w:line="240" w:lineRule="auto"/>
        <w:rPr>
          <w:lang w:val="en-US"/>
        </w:rPr>
      </w:pPr>
      <w:r>
        <w:t xml:space="preserve">Рассмотрим, как получилась сумма </w:t>
      </w:r>
      <w:r w:rsidRPr="001D483A">
        <w:t>$</w:t>
      </w:r>
      <w:r>
        <w:t xml:space="preserve"> 21 600 на рисунке 16.3 в</w:t>
      </w:r>
      <w:r w:rsidR="00E334EE">
        <w:t xml:space="preserve"> соответствии с </w:t>
      </w:r>
      <w:r>
        <w:t>тремя</w:t>
      </w:r>
      <w:r w:rsidR="00E158ED" w:rsidRPr="00E158ED">
        <w:t xml:space="preserve"> пункт</w:t>
      </w:r>
      <w:r w:rsidR="00E334EE">
        <w:t>ами</w:t>
      </w:r>
      <w:r w:rsidR="00E158ED" w:rsidRPr="00E158ED">
        <w:t>, изложенны</w:t>
      </w:r>
      <w:r>
        <w:t>ми выше. Контекст фильтра</w:t>
      </w:r>
      <w:r w:rsidRPr="00E158ED">
        <w:t xml:space="preserve"> в данном случае</w:t>
      </w:r>
      <w:r>
        <w:t xml:space="preserve"> дает</w:t>
      </w:r>
      <w:r w:rsidRPr="00E158ED">
        <w:t xml:space="preserve"> полностью нефильтрованн</w:t>
      </w:r>
      <w:r>
        <w:t>ую</w:t>
      </w:r>
      <w:r w:rsidRPr="00E158ED">
        <w:t xml:space="preserve"> таблиц</w:t>
      </w:r>
      <w:r>
        <w:t>у</w:t>
      </w:r>
      <w:r w:rsidRPr="00E158ED">
        <w:t xml:space="preserve"> </w:t>
      </w:r>
      <w:r w:rsidRPr="00E158ED">
        <w:rPr>
          <w:lang w:val="en-US"/>
        </w:rPr>
        <w:t>Products</w:t>
      </w:r>
      <w:r w:rsidRPr="00E158ED">
        <w:t xml:space="preserve">, так как </w:t>
      </w:r>
      <w:r>
        <w:t xml:space="preserve">ячейка </w:t>
      </w:r>
      <w:r>
        <w:rPr>
          <w:lang w:val="en-US"/>
        </w:rPr>
        <w:t>D</w:t>
      </w:r>
      <w:r w:rsidRPr="001D483A">
        <w:t>3</w:t>
      </w:r>
      <w:r w:rsidRPr="00E158ED">
        <w:t xml:space="preserve"> имеет </w:t>
      </w:r>
      <w:r>
        <w:t>фильтры:</w:t>
      </w:r>
      <w:r w:rsidRPr="00E158ED">
        <w:t xml:space="preserve"> </w:t>
      </w:r>
      <w:r w:rsidRPr="00E158ED">
        <w:rPr>
          <w:lang w:val="en-US"/>
        </w:rPr>
        <w:t>Year</w:t>
      </w:r>
      <w:r w:rsidRPr="00E158ED">
        <w:t xml:space="preserve">=2001, </w:t>
      </w:r>
      <w:r w:rsidRPr="00E158ED">
        <w:rPr>
          <w:lang w:val="en-US"/>
        </w:rPr>
        <w:t>Products</w:t>
      </w:r>
      <w:r w:rsidRPr="00E158ED">
        <w:t>=</w:t>
      </w:r>
      <w:r w:rsidRPr="00E158ED">
        <w:rPr>
          <w:lang w:val="en-US"/>
        </w:rPr>
        <w:t>All</w:t>
      </w:r>
      <w:r>
        <w:t>.</w:t>
      </w:r>
      <w:r w:rsidRPr="00E158ED">
        <w:t xml:space="preserve"> </w:t>
      </w:r>
      <w:r w:rsidR="00E158ED" w:rsidRPr="00E158ED">
        <w:t>Таким образом,</w:t>
      </w:r>
      <w:r>
        <w:t xml:space="preserve"> VALUES(Products[ModelName])</w:t>
      </w:r>
      <w:r w:rsidR="00E158ED" w:rsidRPr="00E158ED">
        <w:t xml:space="preserve"> возвращает каждо</w:t>
      </w:r>
      <w:r>
        <w:t>е</w:t>
      </w:r>
      <w:r w:rsidR="00E158ED" w:rsidRPr="00E158ED">
        <w:t xml:space="preserve"> уникально</w:t>
      </w:r>
      <w:r>
        <w:t>е</w:t>
      </w:r>
      <w:r w:rsidR="00E158ED" w:rsidRPr="00E158ED">
        <w:t xml:space="preserve"> значени</w:t>
      </w:r>
      <w:r>
        <w:t>е</w:t>
      </w:r>
      <w:r w:rsidR="00E158ED" w:rsidRPr="00E158ED">
        <w:t xml:space="preserve"> </w:t>
      </w:r>
      <w:r>
        <w:t xml:space="preserve">столбца </w:t>
      </w:r>
      <w:r w:rsidRPr="001D483A">
        <w:t>[</w:t>
      </w:r>
      <w:r w:rsidRPr="001D483A">
        <w:rPr>
          <w:lang w:val="en-US"/>
        </w:rPr>
        <w:t>ModelName</w:t>
      </w:r>
      <w:r w:rsidRPr="001D483A">
        <w:t xml:space="preserve">] </w:t>
      </w:r>
      <w:r>
        <w:t>из таблицы Products</w:t>
      </w:r>
      <w:r w:rsidR="00E158ED" w:rsidRPr="00E158ED">
        <w:t>.</w:t>
      </w:r>
      <w:r>
        <w:t xml:space="preserve"> Таких</w:t>
      </w:r>
      <w:r w:rsidRPr="003E1248">
        <w:rPr>
          <w:lang w:val="en-US"/>
        </w:rPr>
        <w:t xml:space="preserve"> </w:t>
      </w:r>
      <w:r>
        <w:t>значений</w:t>
      </w:r>
      <w:r w:rsidRPr="003E1248">
        <w:rPr>
          <w:lang w:val="en-US"/>
        </w:rPr>
        <w:t xml:space="preserve"> 119. </w:t>
      </w:r>
      <w:r>
        <w:t>Проверим</w:t>
      </w:r>
      <w:r w:rsidRPr="003E1248">
        <w:rPr>
          <w:lang w:val="en-US"/>
        </w:rPr>
        <w:t xml:space="preserve">, </w:t>
      </w:r>
      <w:r>
        <w:t>введя</w:t>
      </w:r>
      <w:r w:rsidRPr="003E1248">
        <w:rPr>
          <w:lang w:val="en-US"/>
        </w:rPr>
        <w:t xml:space="preserve"> </w:t>
      </w:r>
      <w:r>
        <w:t>меру</w:t>
      </w:r>
    </w:p>
    <w:p w:rsidR="003E1248" w:rsidRDefault="003E1248" w:rsidP="003E1248">
      <w:pPr>
        <w:spacing w:after="120" w:line="240" w:lineRule="auto"/>
        <w:rPr>
          <w:lang w:val="en-US"/>
        </w:rPr>
      </w:pPr>
      <w:r w:rsidRPr="001D483A">
        <w:rPr>
          <w:lang w:val="en-US"/>
        </w:rPr>
        <w:lastRenderedPageBreak/>
        <w:t>[ModelName Values] =</w:t>
      </w:r>
      <w:r w:rsidRPr="003E1248">
        <w:rPr>
          <w:lang w:val="en-US"/>
        </w:rPr>
        <w:t xml:space="preserve"> </w:t>
      </w:r>
      <w:r w:rsidRPr="001D483A">
        <w:rPr>
          <w:lang w:val="en-US"/>
        </w:rPr>
        <w:t>COUNTROWS(VALUES(Products[ModelName]))</w:t>
      </w:r>
    </w:p>
    <w:p w:rsidR="003E1248" w:rsidRDefault="003E1248" w:rsidP="003E1248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137668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6.4. Есть 119 различных моделей, хотя на рис. 16.3 представлены только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8" w:rsidRDefault="003E1248" w:rsidP="003E1248">
      <w:pPr>
        <w:spacing w:after="120" w:line="240" w:lineRule="auto"/>
      </w:pPr>
      <w:r>
        <w:t>Рис. 16.4.</w:t>
      </w:r>
      <w:r w:rsidRPr="003E1248">
        <w:t xml:space="preserve"> </w:t>
      </w:r>
      <w:r>
        <w:t>Е</w:t>
      </w:r>
      <w:r w:rsidRPr="003E1248">
        <w:t xml:space="preserve">сть 119 </w:t>
      </w:r>
      <w:r>
        <w:t>различных моделей, хотя на рис. 16.3 представлены только 3</w:t>
      </w:r>
    </w:p>
    <w:p w:rsidR="003E1248" w:rsidRPr="003E1248" w:rsidRDefault="003E1248" w:rsidP="003E1248">
      <w:pPr>
        <w:spacing w:after="120" w:line="240" w:lineRule="auto"/>
      </w:pPr>
      <w:r w:rsidRPr="003E1248">
        <w:t>Почему 119 против 3? Все</w:t>
      </w:r>
      <w:r>
        <w:t>го моделей</w:t>
      </w:r>
      <w:r w:rsidRPr="003E1248">
        <w:t xml:space="preserve"> 119</w:t>
      </w:r>
      <w:r>
        <w:t>, но только три из них имели продажи в 2001 г.</w:t>
      </w:r>
      <w:r w:rsidRPr="003E1248">
        <w:t xml:space="preserve"> </w:t>
      </w:r>
      <w:r>
        <w:t xml:space="preserve">Т.е., только три </w:t>
      </w:r>
      <w:r w:rsidRPr="003E1248">
        <w:t>возвращают непустые результаты для [</w:t>
      </w:r>
      <w:r w:rsidRPr="003E1248">
        <w:rPr>
          <w:lang w:val="en-US"/>
        </w:rPr>
        <w:t>Sales</w:t>
      </w:r>
      <w:r w:rsidRPr="003E1248">
        <w:t xml:space="preserve"> </w:t>
      </w:r>
      <w:r w:rsidRPr="003E1248">
        <w:rPr>
          <w:lang w:val="en-US"/>
        </w:rPr>
        <w:t>per</w:t>
      </w:r>
      <w:r w:rsidRPr="003E1248">
        <w:t xml:space="preserve"> </w:t>
      </w:r>
      <w:r w:rsidRPr="003E1248">
        <w:rPr>
          <w:lang w:val="en-US"/>
        </w:rPr>
        <w:t>day</w:t>
      </w:r>
      <w:r w:rsidRPr="003E1248">
        <w:t>], что</w:t>
      </w:r>
      <w:r>
        <w:t xml:space="preserve"> и </w:t>
      </w:r>
      <w:r w:rsidRPr="003E1248">
        <w:t>показ</w:t>
      </w:r>
      <w:r>
        <w:t>ывает сводная на рис. 16.3</w:t>
      </w:r>
      <w:r w:rsidRPr="003E1248">
        <w:t>.</w:t>
      </w:r>
    </w:p>
    <w:p w:rsidR="003E1248" w:rsidRPr="003E1248" w:rsidRDefault="003E1248" w:rsidP="003E1248">
      <w:pPr>
        <w:spacing w:after="120" w:line="240" w:lineRule="auto"/>
      </w:pPr>
      <w:r>
        <w:t>На втором шаге д</w:t>
      </w:r>
      <w:r w:rsidRPr="003E1248">
        <w:t xml:space="preserve">ля каждого из этих 119 значений </w:t>
      </w:r>
      <w:r w:rsidRPr="003E1248">
        <w:rPr>
          <w:lang w:val="en-US"/>
        </w:rPr>
        <w:t>SUMX</w:t>
      </w:r>
      <w:r w:rsidRPr="003E1248">
        <w:t>() оценивает меру [</w:t>
      </w:r>
      <w:r w:rsidRPr="003E1248">
        <w:rPr>
          <w:lang w:val="en-US"/>
        </w:rPr>
        <w:t>Sales</w:t>
      </w:r>
      <w:r w:rsidRPr="003E1248">
        <w:t xml:space="preserve"> </w:t>
      </w:r>
      <w:r w:rsidRPr="003E1248">
        <w:rPr>
          <w:lang w:val="en-US"/>
        </w:rPr>
        <w:t>per</w:t>
      </w:r>
      <w:r w:rsidRPr="003E1248">
        <w:t xml:space="preserve"> </w:t>
      </w:r>
      <w:r w:rsidRPr="003E1248">
        <w:rPr>
          <w:lang w:val="en-US"/>
        </w:rPr>
        <w:t>Day</w:t>
      </w:r>
      <w:r w:rsidRPr="003E1248">
        <w:t xml:space="preserve">]. Контекст фильтра </w:t>
      </w:r>
      <w:r w:rsidRPr="003E1248">
        <w:rPr>
          <w:lang w:val="en-US"/>
        </w:rPr>
        <w:t>Year</w:t>
      </w:r>
      <w:r w:rsidRPr="003E1248">
        <w:t xml:space="preserve">=2001 сохраняется на протяжении всего процесса для каждой строки. Но контекст фильтра </w:t>
      </w:r>
      <w:r w:rsidRPr="003E1248">
        <w:rPr>
          <w:lang w:val="en-US"/>
        </w:rPr>
        <w:t>Products</w:t>
      </w:r>
      <w:r w:rsidRPr="003E1248">
        <w:t>[</w:t>
      </w:r>
      <w:r w:rsidRPr="003E1248">
        <w:rPr>
          <w:lang w:val="en-US"/>
        </w:rPr>
        <w:t>ModelName</w:t>
      </w:r>
      <w:r w:rsidRPr="003E1248">
        <w:t xml:space="preserve">] меняется каждый раз, когда </w:t>
      </w:r>
      <w:r w:rsidRPr="003E1248">
        <w:rPr>
          <w:lang w:val="en-US"/>
        </w:rPr>
        <w:t>SUMX</w:t>
      </w:r>
      <w:r w:rsidRPr="003E1248">
        <w:t>() переходит к следующей из 119 строк.</w:t>
      </w:r>
      <w:r>
        <w:t xml:space="preserve"> </w:t>
      </w:r>
      <w:r w:rsidRPr="003E1248">
        <w:t>Таким образом,</w:t>
      </w:r>
      <w:r>
        <w:t xml:space="preserve"> сначала</w:t>
      </w:r>
      <w:r w:rsidRPr="003E1248">
        <w:t xml:space="preserve"> </w:t>
      </w:r>
      <w:r w:rsidRPr="003E1248">
        <w:rPr>
          <w:lang w:val="en-US"/>
        </w:rPr>
        <w:t>SUMX</w:t>
      </w:r>
      <w:r w:rsidRPr="003E1248">
        <w:t>() оценивает [</w:t>
      </w:r>
      <w:r w:rsidRPr="003E1248">
        <w:rPr>
          <w:lang w:val="en-US"/>
        </w:rPr>
        <w:t>Sales</w:t>
      </w:r>
      <w:r w:rsidRPr="003E1248">
        <w:t xml:space="preserve"> </w:t>
      </w:r>
      <w:r w:rsidRPr="003E1248">
        <w:rPr>
          <w:lang w:val="en-US"/>
        </w:rPr>
        <w:t>per</w:t>
      </w:r>
      <w:r w:rsidRPr="003E1248">
        <w:t xml:space="preserve"> </w:t>
      </w:r>
      <w:r w:rsidRPr="003E1248">
        <w:rPr>
          <w:lang w:val="en-US"/>
        </w:rPr>
        <w:t>Day</w:t>
      </w:r>
      <w:r w:rsidRPr="003E1248">
        <w:t xml:space="preserve">] с контекстом фильтра </w:t>
      </w:r>
      <w:r w:rsidRPr="003E1248">
        <w:rPr>
          <w:lang w:val="en-US"/>
        </w:rPr>
        <w:t>Year</w:t>
      </w:r>
      <w:r w:rsidRPr="003E1248">
        <w:t xml:space="preserve">=2001, </w:t>
      </w:r>
      <w:r w:rsidRPr="003E1248">
        <w:rPr>
          <w:lang w:val="en-US"/>
        </w:rPr>
        <w:t>ModelName</w:t>
      </w:r>
      <w:r w:rsidRPr="003E1248">
        <w:t>="</w:t>
      </w:r>
      <w:r w:rsidRPr="003E1248">
        <w:rPr>
          <w:lang w:val="en-US"/>
        </w:rPr>
        <w:t>All</w:t>
      </w:r>
      <w:r w:rsidRPr="003E1248">
        <w:t>-</w:t>
      </w:r>
      <w:r w:rsidRPr="003E1248">
        <w:rPr>
          <w:lang w:val="en-US"/>
        </w:rPr>
        <w:t>Purpose</w:t>
      </w:r>
      <w:r w:rsidRPr="003E1248">
        <w:t xml:space="preserve"> </w:t>
      </w:r>
      <w:r w:rsidRPr="003E1248">
        <w:rPr>
          <w:lang w:val="en-US"/>
        </w:rPr>
        <w:t>Bike</w:t>
      </w:r>
      <w:r w:rsidRPr="003E1248">
        <w:t xml:space="preserve"> </w:t>
      </w:r>
      <w:r w:rsidRPr="003E1248">
        <w:rPr>
          <w:lang w:val="en-US"/>
        </w:rPr>
        <w:t>Stand</w:t>
      </w:r>
      <w:r w:rsidRPr="003E1248">
        <w:t xml:space="preserve">", и возвращает </w:t>
      </w:r>
      <w:r>
        <w:t>ноль</w:t>
      </w:r>
      <w:r w:rsidRPr="003E1248">
        <w:t xml:space="preserve">, потому что </w:t>
      </w:r>
      <w:r w:rsidR="00ED1555">
        <w:t>продаж этой</w:t>
      </w:r>
      <w:r w:rsidRPr="003E1248">
        <w:t xml:space="preserve"> модел</w:t>
      </w:r>
      <w:r w:rsidR="00ED1555">
        <w:t xml:space="preserve">и </w:t>
      </w:r>
      <w:r w:rsidRPr="003E1248">
        <w:t>в 2001 году</w:t>
      </w:r>
      <w:r w:rsidR="00ED1555">
        <w:t xml:space="preserve"> не было.</w:t>
      </w:r>
      <w:r w:rsidRPr="003E1248">
        <w:t xml:space="preserve"> </w:t>
      </w:r>
      <w:r w:rsidRPr="00ED1555">
        <w:t xml:space="preserve">Затем </w:t>
      </w:r>
      <w:r w:rsidR="00ED1555" w:rsidRPr="003E1248">
        <w:rPr>
          <w:lang w:val="en-US"/>
        </w:rPr>
        <w:t>SUMX</w:t>
      </w:r>
      <w:r w:rsidR="00ED1555" w:rsidRPr="00ED1555">
        <w:t xml:space="preserve">() </w:t>
      </w:r>
      <w:r w:rsidRPr="00ED1555">
        <w:t xml:space="preserve">переходит к </w:t>
      </w:r>
      <w:r w:rsidRPr="003E1248">
        <w:rPr>
          <w:lang w:val="en-US"/>
        </w:rPr>
        <w:t>Year</w:t>
      </w:r>
      <w:r w:rsidRPr="00ED1555">
        <w:t xml:space="preserve">=2001, </w:t>
      </w:r>
      <w:r w:rsidRPr="003E1248">
        <w:rPr>
          <w:lang w:val="en-US"/>
        </w:rPr>
        <w:t>ModelName</w:t>
      </w:r>
      <w:r w:rsidRPr="00ED1555">
        <w:t>="</w:t>
      </w:r>
      <w:r w:rsidRPr="003E1248">
        <w:rPr>
          <w:lang w:val="en-US"/>
        </w:rPr>
        <w:t>Bike</w:t>
      </w:r>
      <w:r w:rsidRPr="00ED1555">
        <w:t xml:space="preserve"> </w:t>
      </w:r>
      <w:r w:rsidRPr="003E1248">
        <w:rPr>
          <w:lang w:val="en-US"/>
        </w:rPr>
        <w:t>Wash</w:t>
      </w:r>
      <w:r w:rsidRPr="00ED1555">
        <w:t xml:space="preserve">", </w:t>
      </w:r>
      <w:r w:rsidR="00ED1555">
        <w:t>и</w:t>
      </w:r>
      <w:r w:rsidR="00ED1555" w:rsidRPr="00ED1555">
        <w:t xml:space="preserve"> </w:t>
      </w:r>
      <w:r w:rsidR="00ED1555">
        <w:t>т</w:t>
      </w:r>
      <w:r w:rsidR="00ED1555" w:rsidRPr="00ED1555">
        <w:t>.</w:t>
      </w:r>
      <w:r w:rsidR="00ED1555">
        <w:t>д</w:t>
      </w:r>
      <w:r w:rsidR="00ED1555" w:rsidRPr="00ED1555">
        <w:t xml:space="preserve">. </w:t>
      </w:r>
      <w:r w:rsidR="00ED1555">
        <w:t xml:space="preserve">по всем 119 моделям. </w:t>
      </w:r>
      <w:r w:rsidRPr="003E1248">
        <w:t xml:space="preserve">Только три из этих 119 строк в </w:t>
      </w:r>
      <w:r w:rsidR="00ED1555">
        <w:t>VALUES</w:t>
      </w:r>
      <w:r w:rsidRPr="003E1248">
        <w:t>(</w:t>
      </w:r>
      <w:r w:rsidRPr="003E1248">
        <w:rPr>
          <w:lang w:val="en-US"/>
        </w:rPr>
        <w:t>Products</w:t>
      </w:r>
      <w:r w:rsidRPr="003E1248">
        <w:t>[</w:t>
      </w:r>
      <w:r w:rsidRPr="003E1248">
        <w:rPr>
          <w:lang w:val="en-US"/>
        </w:rPr>
        <w:t>ModelName</w:t>
      </w:r>
      <w:r w:rsidRPr="003E1248">
        <w:t>]) возвращают непустые результаты для [</w:t>
      </w:r>
      <w:r w:rsidRPr="003E1248">
        <w:rPr>
          <w:lang w:val="en-US"/>
        </w:rPr>
        <w:t>Sales</w:t>
      </w:r>
      <w:r w:rsidRPr="003E1248">
        <w:t xml:space="preserve"> </w:t>
      </w:r>
      <w:r w:rsidRPr="003E1248">
        <w:rPr>
          <w:lang w:val="en-US"/>
        </w:rPr>
        <w:t>per</w:t>
      </w:r>
      <w:r w:rsidRPr="003E1248">
        <w:t xml:space="preserve"> </w:t>
      </w:r>
      <w:r w:rsidRPr="003E1248">
        <w:rPr>
          <w:lang w:val="en-US"/>
        </w:rPr>
        <w:t>day</w:t>
      </w:r>
      <w:r w:rsidRPr="003E1248">
        <w:t xml:space="preserve">], и это три, которые мы видели на </w:t>
      </w:r>
      <w:r w:rsidR="00ED1555">
        <w:t>рис. 16.3</w:t>
      </w:r>
      <w:r w:rsidRPr="003E1248">
        <w:t>: "</w:t>
      </w:r>
      <w:r w:rsidRPr="003E1248">
        <w:rPr>
          <w:lang w:val="en-US"/>
        </w:rPr>
        <w:t>Mountain</w:t>
      </w:r>
      <w:r w:rsidRPr="003E1248">
        <w:t>-100", "</w:t>
      </w:r>
      <w:r w:rsidRPr="003E1248">
        <w:rPr>
          <w:lang w:val="en-US"/>
        </w:rPr>
        <w:t>Road</w:t>
      </w:r>
      <w:r w:rsidRPr="003E1248">
        <w:t>-150" и "</w:t>
      </w:r>
      <w:r w:rsidRPr="003E1248">
        <w:rPr>
          <w:lang w:val="en-US"/>
        </w:rPr>
        <w:t>Road</w:t>
      </w:r>
      <w:r w:rsidRPr="003E1248">
        <w:t>-650".</w:t>
      </w:r>
    </w:p>
    <w:p w:rsidR="003E1248" w:rsidRPr="003E1248" w:rsidRDefault="00ED1555" w:rsidP="003E1248">
      <w:pPr>
        <w:spacing w:after="120" w:line="240" w:lineRule="auto"/>
      </w:pPr>
      <w:r>
        <w:t xml:space="preserve">На третьем шаге </w:t>
      </w:r>
      <w:r w:rsidRPr="003E1248">
        <w:rPr>
          <w:lang w:val="en-US"/>
        </w:rPr>
        <w:t>SUMX</w:t>
      </w:r>
      <w:r w:rsidRPr="003E1248">
        <w:t>()</w:t>
      </w:r>
      <w:r>
        <w:t xml:space="preserve"> суммируе</w:t>
      </w:r>
      <w:r w:rsidR="003E1248" w:rsidRPr="003E1248">
        <w:t xml:space="preserve">т все 119 результатов </w:t>
      </w:r>
      <w:r w:rsidRPr="003E1248">
        <w:t>[</w:t>
      </w:r>
      <w:r w:rsidRPr="003E1248">
        <w:rPr>
          <w:lang w:val="en-US"/>
        </w:rPr>
        <w:t>Sales</w:t>
      </w:r>
      <w:r w:rsidRPr="003E1248">
        <w:t xml:space="preserve"> </w:t>
      </w:r>
      <w:r w:rsidRPr="003E1248">
        <w:rPr>
          <w:lang w:val="en-US"/>
        </w:rPr>
        <w:t>per</w:t>
      </w:r>
      <w:r w:rsidRPr="003E1248">
        <w:t xml:space="preserve"> </w:t>
      </w:r>
      <w:r w:rsidRPr="003E1248">
        <w:rPr>
          <w:lang w:val="en-US"/>
        </w:rPr>
        <w:t>day</w:t>
      </w:r>
      <w:r>
        <w:t>]:</w:t>
      </w:r>
      <w:r w:rsidRPr="003E1248">
        <w:t xml:space="preserve"> </w:t>
      </w:r>
      <w:r>
        <w:t>116 пустых значений и три непустых, что в итоге дает</w:t>
      </w:r>
      <w:r w:rsidR="003E1248" w:rsidRPr="003E1248">
        <w:t xml:space="preserve"> $21</w:t>
      </w:r>
      <w:r>
        <w:t xml:space="preserve"> </w:t>
      </w:r>
      <w:r w:rsidR="003E1248" w:rsidRPr="003E1248">
        <w:t>600.</w:t>
      </w:r>
    </w:p>
    <w:p w:rsidR="00ED1555" w:rsidRDefault="00ED1555" w:rsidP="00ED1555">
      <w:pPr>
        <w:pStyle w:val="3"/>
      </w:pPr>
      <w:r w:rsidRPr="00ED1555">
        <w:rPr>
          <w:lang w:val="en-US"/>
        </w:rPr>
        <w:t>MIN</w:t>
      </w:r>
      <w:r w:rsidRPr="00ED1555">
        <w:t xml:space="preserve">(), </w:t>
      </w:r>
      <w:r w:rsidRPr="00ED1555">
        <w:rPr>
          <w:lang w:val="en-US"/>
        </w:rPr>
        <w:t>MAX</w:t>
      </w:r>
      <w:r w:rsidRPr="00ED1555">
        <w:t xml:space="preserve">() или </w:t>
      </w:r>
      <w:r w:rsidRPr="00ED1555">
        <w:rPr>
          <w:lang w:val="en-US"/>
        </w:rPr>
        <w:t>AVERAGE</w:t>
      </w:r>
      <w:r w:rsidRPr="00ED1555">
        <w:t>()</w:t>
      </w:r>
    </w:p>
    <w:p w:rsidR="00E158ED" w:rsidRDefault="00ED1555" w:rsidP="00ED1555">
      <w:pPr>
        <w:spacing w:after="120" w:line="240" w:lineRule="auto"/>
      </w:pPr>
      <w:r>
        <w:t>Есть еще три функции, которые</w:t>
      </w:r>
      <w:r w:rsidRPr="00ED1555">
        <w:t xml:space="preserve"> действуют точно так же, как </w:t>
      </w:r>
      <w:r w:rsidRPr="003E1248">
        <w:rPr>
          <w:lang w:val="en-US"/>
        </w:rPr>
        <w:t>SUMX</w:t>
      </w:r>
      <w:r w:rsidRPr="003E1248">
        <w:t>()</w:t>
      </w:r>
      <w:r w:rsidRPr="00ED1555">
        <w:t>.</w:t>
      </w:r>
      <w:r>
        <w:t xml:space="preserve"> </w:t>
      </w:r>
      <w:r w:rsidRPr="00ED1555">
        <w:t xml:space="preserve">Единственное различие заключается в том, что на последнем шаге вместо суммирования всех результатов, возвращаемых каждым шагом, они затем применяют другую агрегацию: </w:t>
      </w:r>
      <w:r w:rsidRPr="00ED1555">
        <w:rPr>
          <w:lang w:val="en-US"/>
        </w:rPr>
        <w:t>MIN</w:t>
      </w:r>
      <w:r w:rsidRPr="00ED1555">
        <w:t xml:space="preserve">(), </w:t>
      </w:r>
      <w:r w:rsidRPr="00ED1555">
        <w:rPr>
          <w:lang w:val="en-US"/>
        </w:rPr>
        <w:t>MAX</w:t>
      </w:r>
      <w:r w:rsidRPr="00ED1555">
        <w:t xml:space="preserve">() или </w:t>
      </w:r>
      <w:r w:rsidRPr="00ED1555">
        <w:rPr>
          <w:lang w:val="en-US"/>
        </w:rPr>
        <w:t>AVERAGE</w:t>
      </w:r>
      <w:r w:rsidRPr="00ED1555">
        <w:t>().</w:t>
      </w:r>
    </w:p>
    <w:p w:rsidR="00ED1555" w:rsidRPr="00ED1555" w:rsidRDefault="00ED1555" w:rsidP="00ED1555">
      <w:pPr>
        <w:pStyle w:val="3"/>
      </w:pPr>
      <w:r w:rsidRPr="00ED1555">
        <w:rPr>
          <w:lang w:val="en-US"/>
        </w:rPr>
        <w:t>FILTER</w:t>
      </w:r>
      <w:r w:rsidRPr="00ED1555">
        <w:t>()</w:t>
      </w:r>
    </w:p>
    <w:p w:rsidR="00ED1555" w:rsidRDefault="00ED1555" w:rsidP="00ED1555">
      <w:pPr>
        <w:spacing w:after="120" w:line="240" w:lineRule="auto"/>
      </w:pPr>
      <w:r>
        <w:t>Функцию FILTER следовало бы назвать FILTERX, так как она принадлежит семейству функций X. Их ключевое отличие заключается в том, что фильтр возвращает таблицу, а не одно значение, такое как SUMX (или другие функции X). Однако принципы их работы и синтаксис аналогичны:</w:t>
      </w:r>
    </w:p>
    <w:p w:rsidR="00ED1555" w:rsidRPr="00ED1555" w:rsidRDefault="00ED1555" w:rsidP="00ED1555">
      <w:pPr>
        <w:spacing w:after="120" w:line="240" w:lineRule="auto"/>
        <w:rPr>
          <w:lang w:val="en-US"/>
        </w:rPr>
      </w:pPr>
      <w:r w:rsidRPr="00ED1555">
        <w:rPr>
          <w:lang w:val="en-US"/>
        </w:rPr>
        <w:t>SUMX(&lt;table or table expression&gt;; &lt;arithmetic expression&gt;)</w:t>
      </w:r>
    </w:p>
    <w:p w:rsidR="00ED1555" w:rsidRPr="00ED1555" w:rsidRDefault="00ED1555" w:rsidP="00ED1555">
      <w:pPr>
        <w:spacing w:after="120" w:line="240" w:lineRule="auto"/>
        <w:rPr>
          <w:lang w:val="en-US"/>
        </w:rPr>
      </w:pPr>
      <w:r w:rsidRPr="00ED1555">
        <w:rPr>
          <w:lang w:val="en-US"/>
        </w:rPr>
        <w:t>FIL</w:t>
      </w:r>
      <w:r>
        <w:rPr>
          <w:lang w:val="en-US"/>
        </w:rPr>
        <w:t>TER(&lt;table or table expression&gt;;</w:t>
      </w:r>
      <w:r w:rsidRPr="00ED1555">
        <w:rPr>
          <w:lang w:val="en-US"/>
        </w:rPr>
        <w:t xml:space="preserve"> </w:t>
      </w:r>
      <w:r>
        <w:rPr>
          <w:lang w:val="en-US"/>
        </w:rPr>
        <w:t>&lt;</w:t>
      </w:r>
      <w:r w:rsidRPr="00ED1555">
        <w:rPr>
          <w:lang w:val="en-US"/>
        </w:rPr>
        <w:t>filter condition&gt;)</w:t>
      </w:r>
    </w:p>
    <w:p w:rsidR="00ED1555" w:rsidRDefault="00ED1555" w:rsidP="00ED1555">
      <w:pPr>
        <w:spacing w:after="120" w:line="240" w:lineRule="auto"/>
      </w:pPr>
      <w:r>
        <w:t>Обе функции перебирают таблицу (первый аргумент)</w:t>
      </w:r>
      <w:r w:rsidRPr="00ED1555">
        <w:t xml:space="preserve"> </w:t>
      </w:r>
      <w:r>
        <w:t>строка за строкой. Далее</w:t>
      </w:r>
      <w:r w:rsidRPr="00ED1555">
        <w:rPr>
          <w:lang w:val="en-US"/>
        </w:rPr>
        <w:t xml:space="preserve"> SUMX </w:t>
      </w:r>
      <w:r>
        <w:t>вычисляет</w:t>
      </w:r>
      <w:r w:rsidRPr="00ED1555">
        <w:rPr>
          <w:lang w:val="en-US"/>
        </w:rPr>
        <w:t xml:space="preserve"> &lt;arithmetic expression&gt;), </w:t>
      </w:r>
      <w:r>
        <w:t>а</w:t>
      </w:r>
      <w:r w:rsidRPr="00ED1555">
        <w:rPr>
          <w:lang w:val="en-US"/>
        </w:rPr>
        <w:t xml:space="preserve"> FIL</w:t>
      </w:r>
      <w:r>
        <w:rPr>
          <w:lang w:val="en-US"/>
        </w:rPr>
        <w:t>TER</w:t>
      </w:r>
      <w:r w:rsidRPr="00ED1555">
        <w:rPr>
          <w:lang w:val="en-US"/>
        </w:rPr>
        <w:t xml:space="preserve"> – &lt;filter condition&gt; </w:t>
      </w:r>
      <w:r>
        <w:t>для</w:t>
      </w:r>
      <w:r w:rsidRPr="00ED1555">
        <w:rPr>
          <w:lang w:val="en-US"/>
        </w:rPr>
        <w:t xml:space="preserve"> </w:t>
      </w:r>
      <w:r>
        <w:t>каждой</w:t>
      </w:r>
      <w:r w:rsidRPr="00ED1555">
        <w:rPr>
          <w:lang w:val="en-US"/>
        </w:rPr>
        <w:t xml:space="preserve"> </w:t>
      </w:r>
      <w:r>
        <w:t>строки</w:t>
      </w:r>
      <w:r w:rsidRPr="00ED1555">
        <w:rPr>
          <w:lang w:val="en-US"/>
        </w:rPr>
        <w:t xml:space="preserve">. </w:t>
      </w:r>
      <w:r>
        <w:t xml:space="preserve">Наконец SUMX суммирует все значения, вычисленные в каждой строке, а </w:t>
      </w:r>
      <w:r w:rsidRPr="00ED1555">
        <w:rPr>
          <w:lang w:val="en-US"/>
        </w:rPr>
        <w:t>FIL</w:t>
      </w:r>
      <w:r>
        <w:rPr>
          <w:lang w:val="en-US"/>
        </w:rPr>
        <w:t>TER</w:t>
      </w:r>
      <w:r w:rsidRPr="00ED1555">
        <w:t xml:space="preserve"> </w:t>
      </w:r>
      <w:r>
        <w:t xml:space="preserve">собирает все строки таблицы, </w:t>
      </w:r>
      <w:r w:rsidR="00E31AAA">
        <w:t>удовлетворяющие</w:t>
      </w:r>
      <w:r>
        <w:t xml:space="preserve"> </w:t>
      </w:r>
      <w:r w:rsidR="00E31AAA" w:rsidRPr="00E31AAA">
        <w:t>&lt;</w:t>
      </w:r>
      <w:r w:rsidR="00E31AAA" w:rsidRPr="00ED1555">
        <w:rPr>
          <w:lang w:val="en-US"/>
        </w:rPr>
        <w:t>filter</w:t>
      </w:r>
      <w:r w:rsidR="00E31AAA" w:rsidRPr="00E31AAA">
        <w:t xml:space="preserve"> </w:t>
      </w:r>
      <w:r w:rsidR="00E31AAA" w:rsidRPr="00ED1555">
        <w:rPr>
          <w:lang w:val="en-US"/>
        </w:rPr>
        <w:t>condition</w:t>
      </w:r>
      <w:r w:rsidR="00E31AAA" w:rsidRPr="00E31AAA">
        <w:t>&gt;</w:t>
      </w:r>
      <w:r w:rsidR="00E31AAA">
        <w:t xml:space="preserve">, </w:t>
      </w:r>
      <w:r>
        <w:t>и возвращает их в виде таблицы.</w:t>
      </w:r>
    </w:p>
    <w:p w:rsidR="00ED1555" w:rsidRDefault="00ED1555" w:rsidP="00ED1555">
      <w:pPr>
        <w:spacing w:after="120" w:line="240" w:lineRule="auto"/>
      </w:pPr>
      <w:r>
        <w:t xml:space="preserve">Мы надеемся, что вы </w:t>
      </w:r>
      <w:r w:rsidR="00E31AAA">
        <w:t>у</w:t>
      </w:r>
      <w:r>
        <w:t xml:space="preserve">видите </w:t>
      </w:r>
      <w:r w:rsidR="00E31AAA">
        <w:t xml:space="preserve">здесь </w:t>
      </w:r>
      <w:r>
        <w:t>сходство.</w:t>
      </w:r>
    </w:p>
    <w:p w:rsidR="00ED1555" w:rsidRDefault="00ED1555" w:rsidP="00E31AAA">
      <w:pPr>
        <w:pStyle w:val="3"/>
      </w:pPr>
      <w:r>
        <w:t>STDEVX.P</w:t>
      </w:r>
      <w:r w:rsidR="00E31AAA">
        <w:t>(), STDEVX.S(), VARX.P(), VARX.</w:t>
      </w:r>
      <w:r w:rsidR="00E31AAA">
        <w:rPr>
          <w:lang w:val="en-US"/>
        </w:rPr>
        <w:t>S</w:t>
      </w:r>
      <w:r>
        <w:t>()</w:t>
      </w:r>
    </w:p>
    <w:p w:rsidR="00ED1555" w:rsidRDefault="00ED1555" w:rsidP="00ED1555">
      <w:pPr>
        <w:spacing w:after="120" w:line="240" w:lineRule="auto"/>
      </w:pPr>
      <w:r>
        <w:t xml:space="preserve">Разница между версиями P и S точно такая же, как </w:t>
      </w:r>
      <w:r w:rsidR="00E31AAA">
        <w:t xml:space="preserve">между функциями </w:t>
      </w:r>
      <w:r w:rsidR="00E31AAA" w:rsidRPr="00E31AAA">
        <w:t>СТАНДОТКЛО</w:t>
      </w:r>
      <w:r w:rsidR="00E31AAA">
        <w:t>Н.Г</w:t>
      </w:r>
      <w:r w:rsidR="00E31AAA" w:rsidRPr="00E31AAA">
        <w:t>(</w:t>
      </w:r>
      <w:r w:rsidR="00E31AAA">
        <w:t>) и</w:t>
      </w:r>
      <w:r w:rsidR="00E31AAA" w:rsidRPr="00E31AAA">
        <w:t xml:space="preserve"> СТАНДОТКЛОН.В(</w:t>
      </w:r>
      <w:r w:rsidR="00E31AAA">
        <w:t xml:space="preserve">) </w:t>
      </w:r>
      <w:r>
        <w:t>в обычном Excel. Версия P используется, когд</w:t>
      </w:r>
      <w:r w:rsidR="00E31AAA">
        <w:t>а набор данных представляет генеральную совокупность</w:t>
      </w:r>
      <w:r>
        <w:t>, а функция S, когда имеется только выборка данных.</w:t>
      </w:r>
      <w:r w:rsidR="00E31AAA">
        <w:t xml:space="preserve"> Это вопрос статистики, а не </w:t>
      </w:r>
      <w:r w:rsidR="00E31AAA">
        <w:rPr>
          <w:lang w:val="en-US"/>
        </w:rPr>
        <w:t>DAX</w:t>
      </w:r>
      <w:r w:rsidR="00E31AAA" w:rsidRPr="00E31AAA">
        <w:t xml:space="preserve"> </w:t>
      </w:r>
      <w:r w:rsidR="00E31AAA">
        <w:t xml:space="preserve">(подробнее см. </w:t>
      </w:r>
      <w:hyperlink r:id="rId15" w:history="1">
        <w:r w:rsidR="00E31AAA" w:rsidRPr="00E31AAA">
          <w:rPr>
            <w:rStyle w:val="aa"/>
          </w:rPr>
          <w:t>СТАНДОТКЛОН.В и СТАНДОТКЛОН.Г: в чем различие?</w:t>
        </w:r>
      </w:hyperlink>
      <w:r w:rsidR="00E31AAA">
        <w:t>)</w:t>
      </w:r>
      <w:r>
        <w:t>.</w:t>
      </w:r>
    </w:p>
    <w:p w:rsidR="00E31AAA" w:rsidRPr="00E31AAA" w:rsidRDefault="00E31AAA" w:rsidP="00E31AAA">
      <w:pPr>
        <w:pStyle w:val="3"/>
      </w:pPr>
      <w:r w:rsidRPr="00E31AAA">
        <w:rPr>
          <w:lang w:val="en-US"/>
        </w:rPr>
        <w:t>COUNTX</w:t>
      </w:r>
      <w:r w:rsidRPr="00E31AAA">
        <w:t xml:space="preserve">() и </w:t>
      </w:r>
      <w:r w:rsidRPr="00E31AAA">
        <w:rPr>
          <w:lang w:val="en-US"/>
        </w:rPr>
        <w:t>COUNTAX</w:t>
      </w:r>
      <w:r w:rsidRPr="00E31AAA">
        <w:t>()</w:t>
      </w:r>
    </w:p>
    <w:p w:rsidR="00E31AAA" w:rsidRPr="00E31AAA" w:rsidRDefault="00E31AAA" w:rsidP="00E31AAA">
      <w:pPr>
        <w:spacing w:after="120" w:line="240" w:lineRule="auto"/>
      </w:pPr>
      <w:r w:rsidRPr="00E31AAA">
        <w:t>Вернемся</w:t>
      </w:r>
      <w:r w:rsidRPr="003C56A4">
        <w:rPr>
          <w:lang w:val="en-US"/>
        </w:rPr>
        <w:t xml:space="preserve"> </w:t>
      </w:r>
      <w:r w:rsidRPr="00E31AAA">
        <w:t>к</w:t>
      </w:r>
      <w:r w:rsidRPr="003C56A4">
        <w:rPr>
          <w:lang w:val="en-US"/>
        </w:rPr>
        <w:t xml:space="preserve"> </w:t>
      </w:r>
      <w:r w:rsidRPr="00E31AAA">
        <w:t>нашему</w:t>
      </w:r>
      <w:r w:rsidRPr="003C56A4">
        <w:rPr>
          <w:lang w:val="en-US"/>
        </w:rPr>
        <w:t xml:space="preserve"> </w:t>
      </w:r>
      <w:r w:rsidRPr="00E31AAA">
        <w:t>примеру</w:t>
      </w:r>
      <w:r w:rsidRPr="003C56A4">
        <w:rPr>
          <w:lang w:val="en-US"/>
        </w:rPr>
        <w:t xml:space="preserve"> </w:t>
      </w:r>
      <w:r w:rsidRPr="00E31AAA">
        <w:t>с</w:t>
      </w:r>
      <w:r w:rsidRPr="003C56A4">
        <w:rPr>
          <w:lang w:val="en-US"/>
        </w:rPr>
        <w:t xml:space="preserve"> </w:t>
      </w:r>
      <w:r w:rsidRPr="00E31AAA">
        <w:rPr>
          <w:lang w:val="en-US"/>
        </w:rPr>
        <w:t>SUMX</w:t>
      </w:r>
      <w:r w:rsidRPr="003C56A4">
        <w:rPr>
          <w:lang w:val="en-US"/>
        </w:rPr>
        <w:t>():</w:t>
      </w:r>
      <w:r w:rsidR="003C56A4" w:rsidRPr="003C56A4">
        <w:rPr>
          <w:lang w:val="en-US"/>
        </w:rPr>
        <w:t xml:space="preserve"> </w:t>
      </w:r>
      <w:r>
        <w:rPr>
          <w:lang w:val="en-US"/>
        </w:rPr>
        <w:t>SUMX(VALUES(Products[ModelName]</w:t>
      </w:r>
      <w:r w:rsidRPr="00E31AAA">
        <w:rPr>
          <w:lang w:val="en-US"/>
        </w:rPr>
        <w:t>); [Sales per Day])</w:t>
      </w:r>
      <w:r w:rsidR="003C56A4" w:rsidRPr="003C56A4">
        <w:rPr>
          <w:lang w:val="en-US"/>
        </w:rPr>
        <w:t xml:space="preserve">. </w:t>
      </w:r>
      <w:r>
        <w:t>Здесь имелось</w:t>
      </w:r>
      <w:r w:rsidRPr="00E31AAA">
        <w:t xml:space="preserve"> 119 уникальных значений </w:t>
      </w:r>
      <w:r w:rsidRPr="00E31AAA">
        <w:rPr>
          <w:lang w:val="en-US"/>
        </w:rPr>
        <w:t>ModelName</w:t>
      </w:r>
      <w:r w:rsidRPr="00E31AAA">
        <w:t>, из которых только 3 имели непустые значения для [</w:t>
      </w:r>
      <w:r w:rsidRPr="00E31AAA">
        <w:rPr>
          <w:lang w:val="en-US"/>
        </w:rPr>
        <w:t>Sales</w:t>
      </w:r>
      <w:r w:rsidRPr="00E31AAA">
        <w:t xml:space="preserve"> </w:t>
      </w:r>
      <w:r w:rsidRPr="00E31AAA">
        <w:rPr>
          <w:lang w:val="en-US"/>
        </w:rPr>
        <w:t>per</w:t>
      </w:r>
      <w:r w:rsidRPr="00E31AAA">
        <w:t xml:space="preserve"> </w:t>
      </w:r>
      <w:r w:rsidRPr="00E31AAA">
        <w:rPr>
          <w:lang w:val="en-US"/>
        </w:rPr>
        <w:t>day</w:t>
      </w:r>
      <w:r w:rsidRPr="00E31AAA">
        <w:t>].</w:t>
      </w:r>
      <w:r>
        <w:t xml:space="preserve"> </w:t>
      </w:r>
      <w:r w:rsidRPr="00E31AAA">
        <w:t xml:space="preserve">Если бы мы заменили </w:t>
      </w:r>
      <w:r w:rsidRPr="00E31AAA">
        <w:rPr>
          <w:lang w:val="en-US"/>
        </w:rPr>
        <w:t>SUMX</w:t>
      </w:r>
      <w:r w:rsidRPr="00E31AAA">
        <w:t xml:space="preserve">() на </w:t>
      </w:r>
      <w:r w:rsidRPr="00E31AAA">
        <w:rPr>
          <w:lang w:val="en-US"/>
        </w:rPr>
        <w:t>COUNTX</w:t>
      </w:r>
      <w:r w:rsidRPr="00E31AAA">
        <w:t>(),мы</w:t>
      </w:r>
      <w:r>
        <w:t xml:space="preserve"> бы</w:t>
      </w:r>
      <w:r w:rsidRPr="00E31AAA">
        <w:t xml:space="preserve"> получили 3, потому что </w:t>
      </w:r>
      <w:r w:rsidRPr="00E31AAA">
        <w:rPr>
          <w:lang w:val="en-US"/>
        </w:rPr>
        <w:t>COUNTX</w:t>
      </w:r>
      <w:r>
        <w:t xml:space="preserve">() не </w:t>
      </w:r>
      <w:r w:rsidRPr="00E31AAA">
        <w:t xml:space="preserve">считает </w:t>
      </w:r>
      <w:r>
        <w:t>пустые значения</w:t>
      </w:r>
      <w:r w:rsidRPr="00E31AAA">
        <w:t>.</w:t>
      </w:r>
      <w:r>
        <w:t xml:space="preserve"> </w:t>
      </w:r>
      <w:r w:rsidRPr="00E31AAA">
        <w:t xml:space="preserve">Таким образом, мы можем думать о </w:t>
      </w:r>
      <w:r w:rsidRPr="00E31AAA">
        <w:rPr>
          <w:lang w:val="en-US"/>
        </w:rPr>
        <w:t>COUNTX</w:t>
      </w:r>
      <w:r w:rsidRPr="00E31AAA">
        <w:t>() как о "</w:t>
      </w:r>
      <w:r w:rsidRPr="00E31AAA">
        <w:rPr>
          <w:lang w:val="en-US"/>
        </w:rPr>
        <w:t>COUNT</w:t>
      </w:r>
      <w:r w:rsidRPr="00E31AAA">
        <w:t xml:space="preserve"> </w:t>
      </w:r>
      <w:r w:rsidRPr="00E31AAA">
        <w:rPr>
          <w:lang w:val="en-US"/>
        </w:rPr>
        <w:lastRenderedPageBreak/>
        <w:t>NONBLANKX</w:t>
      </w:r>
      <w:r w:rsidRPr="00E31AAA">
        <w:t>()".</w:t>
      </w:r>
      <w:r w:rsidR="003C56A4">
        <w:t xml:space="preserve"> Чем </w:t>
      </w:r>
      <w:r w:rsidRPr="00E31AAA">
        <w:t xml:space="preserve">же тогда </w:t>
      </w:r>
      <w:r w:rsidR="003C56A4" w:rsidRPr="00E31AAA">
        <w:rPr>
          <w:lang w:val="en-US"/>
        </w:rPr>
        <w:t>COUNTX</w:t>
      </w:r>
      <w:r w:rsidR="003C56A4" w:rsidRPr="00E31AAA">
        <w:t xml:space="preserve">() </w:t>
      </w:r>
      <w:r w:rsidRPr="00E31AAA">
        <w:t xml:space="preserve">отличается от </w:t>
      </w:r>
      <w:r w:rsidRPr="00E31AAA">
        <w:rPr>
          <w:lang w:val="en-US"/>
        </w:rPr>
        <w:t>COUNTROWS</w:t>
      </w:r>
      <w:r w:rsidRPr="00E31AAA">
        <w:t>()?</w:t>
      </w:r>
      <w:r w:rsidR="003C56A4">
        <w:t xml:space="preserve"> </w:t>
      </w:r>
      <w:r w:rsidRPr="00E31AAA">
        <w:t xml:space="preserve">Функция </w:t>
      </w:r>
      <w:r w:rsidRPr="00E31AAA">
        <w:rPr>
          <w:lang w:val="en-US"/>
        </w:rPr>
        <w:t>COUNTROWS</w:t>
      </w:r>
      <w:r w:rsidRPr="00E31AAA">
        <w:t>() не может принимать меру в качестве аргумента, поэтому ее нельзя использовать для оценки того, сколько раз эта мера возвращает непустое зна</w:t>
      </w:r>
      <w:r w:rsidR="003C56A4">
        <w:t>чение</w:t>
      </w:r>
      <w:r w:rsidRPr="00E31AAA">
        <w:t>.</w:t>
      </w:r>
    </w:p>
    <w:p w:rsidR="00E31AAA" w:rsidRPr="003C56A4" w:rsidRDefault="00E31AAA" w:rsidP="00E31AAA">
      <w:pPr>
        <w:spacing w:after="120" w:line="240" w:lineRule="auto"/>
      </w:pPr>
      <w:r w:rsidRPr="00E31AAA">
        <w:rPr>
          <w:lang w:val="en-US"/>
        </w:rPr>
        <w:t>COUNTAX</w:t>
      </w:r>
      <w:r w:rsidRPr="00E31AAA">
        <w:t xml:space="preserve">() </w:t>
      </w:r>
      <w:r w:rsidR="003C56A4">
        <w:t>в отличи</w:t>
      </w:r>
      <w:r w:rsidRPr="00E31AAA">
        <w:t xml:space="preserve">е от </w:t>
      </w:r>
      <w:r w:rsidRPr="00E31AAA">
        <w:rPr>
          <w:lang w:val="en-US"/>
        </w:rPr>
        <w:t>COUNTX</w:t>
      </w:r>
      <w:r w:rsidRPr="00E31AAA">
        <w:t>()</w:t>
      </w:r>
      <w:r w:rsidR="003C56A4">
        <w:t xml:space="preserve"> считает значимыми пустые текстовые строки ="".</w:t>
      </w:r>
    </w:p>
    <w:p w:rsidR="003C56A4" w:rsidRPr="003C56A4" w:rsidRDefault="003C56A4" w:rsidP="003C56A4">
      <w:pPr>
        <w:pStyle w:val="3"/>
      </w:pPr>
      <w:r w:rsidRPr="003C56A4">
        <w:t xml:space="preserve">Использование функций </w:t>
      </w:r>
      <w:r w:rsidRPr="003C56A4">
        <w:rPr>
          <w:lang w:val="en-US"/>
        </w:rPr>
        <w:t>X</w:t>
      </w:r>
      <w:r w:rsidRPr="003C56A4">
        <w:t xml:space="preserve"> для полей, которые не отображаются</w:t>
      </w:r>
    </w:p>
    <w:p w:rsidR="003C56A4" w:rsidRDefault="003C56A4" w:rsidP="003C56A4">
      <w:pPr>
        <w:spacing w:after="120" w:line="240" w:lineRule="auto"/>
        <w:rPr>
          <w:lang w:val="en-US"/>
        </w:rPr>
      </w:pPr>
      <w:r w:rsidRPr="003C56A4">
        <w:t>В</w:t>
      </w:r>
      <w:r>
        <w:t>ыше</w:t>
      </w:r>
      <w:r w:rsidRPr="003C56A4">
        <w:t xml:space="preserve"> </w:t>
      </w:r>
      <w:r>
        <w:t>мы использовали</w:t>
      </w:r>
      <w:r w:rsidRPr="003C56A4">
        <w:t xml:space="preserve"> </w:t>
      </w:r>
      <w:r w:rsidRPr="003C56A4">
        <w:rPr>
          <w:lang w:val="en-US"/>
        </w:rPr>
        <w:t>SUMX</w:t>
      </w:r>
      <w:r w:rsidRPr="003C56A4">
        <w:t>()</w:t>
      </w:r>
      <w:r>
        <w:t xml:space="preserve"> </w:t>
      </w:r>
      <w:r w:rsidRPr="003C56A4">
        <w:t>для</w:t>
      </w:r>
      <w:r>
        <w:t xml:space="preserve"> того, чтобы суммировать итоги «</w:t>
      </w:r>
      <w:r w:rsidRPr="003C56A4">
        <w:t>правильно</w:t>
      </w:r>
      <w:r>
        <w:t xml:space="preserve">». Другое </w:t>
      </w:r>
      <w:r w:rsidRPr="003C56A4">
        <w:t>использова</w:t>
      </w:r>
      <w:r>
        <w:t>ние функций</w:t>
      </w:r>
      <w:r w:rsidRPr="003C56A4">
        <w:t xml:space="preserve"> </w:t>
      </w:r>
      <w:r w:rsidRPr="003C56A4">
        <w:rPr>
          <w:lang w:val="en-US"/>
        </w:rPr>
        <w:t>X</w:t>
      </w:r>
      <w:r>
        <w:t xml:space="preserve"> связано с</w:t>
      </w:r>
      <w:r w:rsidRPr="003C56A4">
        <w:t xml:space="preserve"> перебор</w:t>
      </w:r>
      <w:r>
        <w:t>ом</w:t>
      </w:r>
      <w:r w:rsidRPr="003C56A4">
        <w:t xml:space="preserve"> пол</w:t>
      </w:r>
      <w:r>
        <w:t>ей, которы</w:t>
      </w:r>
      <w:r w:rsidRPr="003C56A4">
        <w:t xml:space="preserve">е не </w:t>
      </w:r>
      <w:r>
        <w:t>выведены в сводной таблице. Чтобы</w:t>
      </w:r>
      <w:r w:rsidRPr="008672E0">
        <w:rPr>
          <w:lang w:val="en-US"/>
        </w:rPr>
        <w:t xml:space="preserve"> </w:t>
      </w:r>
      <w:r>
        <w:t>проиллюстрировать</w:t>
      </w:r>
      <w:r w:rsidRPr="008672E0">
        <w:rPr>
          <w:lang w:val="en-US"/>
        </w:rPr>
        <w:t xml:space="preserve"> </w:t>
      </w:r>
      <w:r>
        <w:t>это</w:t>
      </w:r>
      <w:r w:rsidRPr="008672E0">
        <w:rPr>
          <w:lang w:val="en-US"/>
        </w:rPr>
        <w:t xml:space="preserve">, </w:t>
      </w:r>
      <w:r w:rsidRPr="003C56A4">
        <w:t>добавим</w:t>
      </w:r>
      <w:r w:rsidRPr="008672E0">
        <w:rPr>
          <w:lang w:val="en-US"/>
        </w:rPr>
        <w:t xml:space="preserve"> </w:t>
      </w:r>
      <w:r w:rsidRPr="003C56A4">
        <w:t>новую</w:t>
      </w:r>
      <w:r w:rsidRPr="008672E0">
        <w:rPr>
          <w:lang w:val="en-US"/>
        </w:rPr>
        <w:t xml:space="preserve"> </w:t>
      </w:r>
      <w:r w:rsidRPr="003C56A4">
        <w:t>меру</w:t>
      </w:r>
      <w:r w:rsidRPr="008672E0">
        <w:rPr>
          <w:lang w:val="en-US"/>
        </w:rPr>
        <w:t>:</w:t>
      </w:r>
      <w:r w:rsidR="008672E0" w:rsidRPr="008672E0">
        <w:rPr>
          <w:lang w:val="en-US"/>
        </w:rPr>
        <w:t xml:space="preserve"> </w:t>
      </w:r>
      <w:r w:rsidRPr="003C56A4">
        <w:rPr>
          <w:lang w:val="en-US"/>
        </w:rPr>
        <w:t>[Max Single-Country Sales] =</w:t>
      </w:r>
      <w:r w:rsidR="008672E0" w:rsidRPr="008672E0">
        <w:rPr>
          <w:lang w:val="en-US"/>
        </w:rPr>
        <w:t xml:space="preserve"> </w:t>
      </w:r>
      <w:r w:rsidRPr="003C56A4">
        <w:rPr>
          <w:lang w:val="en-US"/>
        </w:rPr>
        <w:t>MAXX(VALUES(SalesTerritory[Country]</w:t>
      </w:r>
      <w:r w:rsidR="008672E0">
        <w:rPr>
          <w:lang w:val="en-US"/>
        </w:rPr>
        <w:t>); [Total Sales]</w:t>
      </w:r>
      <w:r w:rsidRPr="003C56A4">
        <w:rPr>
          <w:lang w:val="en-US"/>
        </w:rPr>
        <w:t>)</w:t>
      </w:r>
    </w:p>
    <w:p w:rsidR="008672E0" w:rsidRDefault="008672E0" w:rsidP="003C56A4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3158490"/>
            <wp:effectExtent l="0" t="0" r="190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6.5. Вы уверены, что понимаете, что именно отображает новая 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E0" w:rsidRDefault="008672E0" w:rsidP="003C56A4">
      <w:pPr>
        <w:spacing w:after="120" w:line="240" w:lineRule="auto"/>
      </w:pPr>
      <w:r w:rsidRPr="008672E0">
        <w:t>Рис</w:t>
      </w:r>
      <w:r>
        <w:t>. 16.5.</w:t>
      </w:r>
      <w:r w:rsidRPr="008672E0">
        <w:t xml:space="preserve"> </w:t>
      </w:r>
      <w:r>
        <w:t>Вы уверены, что понимаете, что именно отображает</w:t>
      </w:r>
      <w:r w:rsidRPr="008672E0">
        <w:t xml:space="preserve"> новая мера?</w:t>
      </w:r>
    </w:p>
    <w:p w:rsidR="008672E0" w:rsidRDefault="008672E0" w:rsidP="003C56A4">
      <w:pPr>
        <w:spacing w:after="120" w:line="240" w:lineRule="auto"/>
      </w:pPr>
      <w:r w:rsidRPr="008672E0">
        <w:t>Добави</w:t>
      </w:r>
      <w:r>
        <w:t>м</w:t>
      </w:r>
      <w:r w:rsidRPr="008672E0">
        <w:t xml:space="preserve"> страну в свод</w:t>
      </w:r>
      <w:r w:rsidR="00252A8F">
        <w:t>ную таблицу</w:t>
      </w:r>
      <w:r w:rsidRPr="008672E0">
        <w:t>:</w:t>
      </w:r>
    </w:p>
    <w:p w:rsidR="00252A8F" w:rsidRDefault="00252A8F" w:rsidP="003C56A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84124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6.6. Мера [Max Single-Country Sales] возвращает максимальные продажи в одной стране с учетом контекста фильтр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8F" w:rsidRDefault="00252A8F" w:rsidP="003C56A4">
      <w:pPr>
        <w:spacing w:after="120" w:line="240" w:lineRule="auto"/>
      </w:pPr>
      <w:r w:rsidRPr="00252A8F">
        <w:t>Рис</w:t>
      </w:r>
      <w:r>
        <w:t>. 16.6.</w:t>
      </w:r>
      <w:r w:rsidRPr="00252A8F">
        <w:t xml:space="preserve"> </w:t>
      </w:r>
      <w:r>
        <w:t xml:space="preserve">Мера </w:t>
      </w:r>
      <w:r w:rsidRPr="00252A8F">
        <w:t>[</w:t>
      </w:r>
      <w:r w:rsidRPr="003C56A4">
        <w:rPr>
          <w:lang w:val="en-US"/>
        </w:rPr>
        <w:t>Max</w:t>
      </w:r>
      <w:r w:rsidRPr="00252A8F">
        <w:t xml:space="preserve"> </w:t>
      </w:r>
      <w:r w:rsidRPr="003C56A4">
        <w:rPr>
          <w:lang w:val="en-US"/>
        </w:rPr>
        <w:t>Single</w:t>
      </w:r>
      <w:r w:rsidRPr="00252A8F">
        <w:t>-</w:t>
      </w:r>
      <w:r w:rsidRPr="003C56A4">
        <w:rPr>
          <w:lang w:val="en-US"/>
        </w:rPr>
        <w:t>Country</w:t>
      </w:r>
      <w:r w:rsidRPr="00252A8F">
        <w:t xml:space="preserve"> </w:t>
      </w:r>
      <w:r w:rsidRPr="003C56A4">
        <w:rPr>
          <w:lang w:val="en-US"/>
        </w:rPr>
        <w:t>Sales</w:t>
      </w:r>
      <w:r w:rsidRPr="00252A8F">
        <w:t>]</w:t>
      </w:r>
      <w:r>
        <w:t xml:space="preserve"> возвращает</w:t>
      </w:r>
      <w:r w:rsidRPr="00252A8F">
        <w:t xml:space="preserve"> максимальны</w:t>
      </w:r>
      <w:r>
        <w:t>е</w:t>
      </w:r>
      <w:r w:rsidRPr="00252A8F">
        <w:t xml:space="preserve"> продаж</w:t>
      </w:r>
      <w:r>
        <w:t>и</w:t>
      </w:r>
      <w:r w:rsidRPr="00252A8F">
        <w:t xml:space="preserve"> в одной стране</w:t>
      </w:r>
      <w:r>
        <w:t xml:space="preserve"> с учетом контекста фильтра</w:t>
      </w:r>
    </w:p>
    <w:p w:rsidR="001A4A3D" w:rsidRDefault="00FA6C8C" w:rsidP="00252A8F">
      <w:pPr>
        <w:spacing w:after="120" w:line="240" w:lineRule="auto"/>
      </w:pPr>
      <w:r>
        <w:t xml:space="preserve">Значение в ячейке Е3 равно сумме значений в ячейках Е5, Е12 и Е19. Поскольку контекст фильтра в ячейке Е3: </w:t>
      </w:r>
      <w:r>
        <w:rPr>
          <w:lang w:val="en-US"/>
        </w:rPr>
        <w:t>Year</w:t>
      </w:r>
      <w:r w:rsidRPr="00FA6C8C">
        <w:t>=2001</w:t>
      </w:r>
      <w:r>
        <w:t>,</w:t>
      </w:r>
      <w:r w:rsidRPr="00FA6C8C">
        <w:t xml:space="preserve"> </w:t>
      </w:r>
      <w:r w:rsidRPr="00E158ED">
        <w:rPr>
          <w:lang w:val="en-US"/>
        </w:rPr>
        <w:t>Products</w:t>
      </w:r>
      <w:r w:rsidRPr="00E158ED">
        <w:t>=</w:t>
      </w:r>
      <w:r w:rsidRPr="00E158ED">
        <w:rPr>
          <w:lang w:val="en-US"/>
        </w:rPr>
        <w:t>All</w:t>
      </w:r>
      <w:r>
        <w:t xml:space="preserve">, то найдены максимальные продажи по стране по всем моделям. Посмотрите еще раз на рис. 16.5. Поле </w:t>
      </w:r>
      <w:r w:rsidRPr="00FA6C8C">
        <w:t xml:space="preserve">Country </w:t>
      </w:r>
      <w:r>
        <w:t>отсутствует в сводной таблице, но</w:t>
      </w:r>
      <w:r w:rsidR="001A4A3D">
        <w:t xml:space="preserve"> значения в столбце Е соответствуют только одной стране.</w:t>
      </w:r>
    </w:p>
    <w:p w:rsidR="002C55C0" w:rsidRPr="002C55C0" w:rsidRDefault="002C55C0" w:rsidP="002C55C0">
      <w:pPr>
        <w:pStyle w:val="3"/>
      </w:pPr>
      <w:r w:rsidRPr="002C55C0">
        <w:rPr>
          <w:lang w:val="en-US"/>
        </w:rPr>
        <w:t>RANKX</w:t>
      </w:r>
      <w:r w:rsidRPr="002C55C0">
        <w:t>()</w:t>
      </w:r>
    </w:p>
    <w:p w:rsidR="008F13A8" w:rsidRPr="002C55C0" w:rsidRDefault="008F13A8" w:rsidP="008F13A8">
      <w:pPr>
        <w:spacing w:after="120" w:line="240" w:lineRule="auto"/>
        <w:rPr>
          <w:lang w:val="en-US"/>
        </w:rPr>
      </w:pPr>
      <w:r>
        <w:t>Используем</w:t>
      </w:r>
      <w:r w:rsidRPr="008F13A8">
        <w:rPr>
          <w:lang w:val="en-US"/>
        </w:rPr>
        <w:t xml:space="preserve"> </w:t>
      </w:r>
      <w:r>
        <w:t>меру</w:t>
      </w:r>
      <w:r w:rsidRPr="002C55C0">
        <w:rPr>
          <w:lang w:val="en-US"/>
        </w:rPr>
        <w:t xml:space="preserve"> [Customer Sales Rank] = RANKX(ALL(Customers[FullName]); </w:t>
      </w:r>
      <w:r>
        <w:rPr>
          <w:lang w:val="en-US"/>
        </w:rPr>
        <w:t>[Total Sales]</w:t>
      </w:r>
      <w:r w:rsidRPr="002C55C0">
        <w:rPr>
          <w:lang w:val="en-US"/>
        </w:rPr>
        <w:t>)</w:t>
      </w:r>
    </w:p>
    <w:p w:rsidR="002C55C0" w:rsidRDefault="002C55C0" w:rsidP="002C55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10050" cy="2047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6.7. Ранг по сумме продаж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C0" w:rsidRDefault="002C55C0" w:rsidP="002C55C0">
      <w:pPr>
        <w:spacing w:after="120" w:line="240" w:lineRule="auto"/>
      </w:pPr>
      <w:r w:rsidRPr="002C55C0">
        <w:t xml:space="preserve">Рис. </w:t>
      </w:r>
      <w:r>
        <w:t>16.</w:t>
      </w:r>
      <w:r w:rsidRPr="002C55C0">
        <w:t>7</w:t>
      </w:r>
      <w:r>
        <w:t>.</w:t>
      </w:r>
      <w:r w:rsidRPr="002C55C0">
        <w:t xml:space="preserve"> </w:t>
      </w:r>
      <w:r>
        <w:t>Ранг по сумме продаж</w:t>
      </w:r>
    </w:p>
    <w:p w:rsidR="002C55C0" w:rsidRPr="002C55C0" w:rsidRDefault="002C55C0" w:rsidP="008F13A8">
      <w:pPr>
        <w:spacing w:after="120" w:line="240" w:lineRule="auto"/>
      </w:pPr>
      <w:r w:rsidRPr="002C55C0">
        <w:t>Единствен</w:t>
      </w:r>
      <w:r>
        <w:t xml:space="preserve">ное различие, которое мы видим по сравнению с другими Х функциями </w:t>
      </w:r>
      <w:r w:rsidRPr="002C55C0">
        <w:t xml:space="preserve">заключается в том, что мы использовали </w:t>
      </w:r>
      <w:r w:rsidRPr="002C55C0">
        <w:rPr>
          <w:lang w:val="en-US"/>
        </w:rPr>
        <w:t>ALL</w:t>
      </w:r>
      <w:r w:rsidRPr="002C55C0">
        <w:t xml:space="preserve">() вместо </w:t>
      </w:r>
      <w:r w:rsidRPr="002C55C0">
        <w:rPr>
          <w:lang w:val="en-US"/>
        </w:rPr>
        <w:t>VALUES</w:t>
      </w:r>
      <w:r w:rsidRPr="002C55C0">
        <w:t xml:space="preserve">() в первом аргументе. </w:t>
      </w:r>
      <w:r w:rsidR="008F13A8">
        <w:t xml:space="preserve">Функция </w:t>
      </w:r>
      <w:r w:rsidR="008F13A8" w:rsidRPr="002C55C0">
        <w:rPr>
          <w:lang w:val="en-US"/>
        </w:rPr>
        <w:t>VALUES</w:t>
      </w:r>
      <w:r w:rsidR="008F13A8" w:rsidRPr="002C55C0">
        <w:t xml:space="preserve">() </w:t>
      </w:r>
      <w:r w:rsidR="008F13A8">
        <w:t>вернет  уникальное</w:t>
      </w:r>
      <w:r w:rsidRPr="002C55C0">
        <w:t xml:space="preserve"> значение </w:t>
      </w:r>
      <w:r w:rsidRPr="002C55C0">
        <w:rPr>
          <w:lang w:val="en-US"/>
        </w:rPr>
        <w:t>Customer</w:t>
      </w:r>
      <w:r w:rsidRPr="002C55C0">
        <w:t>[</w:t>
      </w:r>
      <w:r w:rsidRPr="002C55C0">
        <w:rPr>
          <w:lang w:val="en-US"/>
        </w:rPr>
        <w:t>FullName</w:t>
      </w:r>
      <w:r w:rsidR="008F13A8">
        <w:t>] для каждого вхождения</w:t>
      </w:r>
      <w:r w:rsidRPr="002C55C0">
        <w:t xml:space="preserve">, поэтому мера </w:t>
      </w:r>
      <w:r w:rsidRPr="002C55C0">
        <w:rPr>
          <w:lang w:val="en-US"/>
        </w:rPr>
        <w:t>RANKX</w:t>
      </w:r>
      <w:r w:rsidRPr="002C55C0">
        <w:t xml:space="preserve"> </w:t>
      </w:r>
      <w:r w:rsidRPr="002C55C0">
        <w:lastRenderedPageBreak/>
        <w:t>ранжирует каждого клиента, как если бы он б</w:t>
      </w:r>
      <w:r w:rsidR="008F13A8">
        <w:t>ыл единственным клиентом в мире. В тоже время</w:t>
      </w:r>
      <w:r w:rsidRPr="002C55C0">
        <w:t xml:space="preserve"> </w:t>
      </w:r>
      <w:r w:rsidRPr="002C55C0">
        <w:rPr>
          <w:lang w:val="en-US"/>
        </w:rPr>
        <w:t>ALL</w:t>
      </w:r>
      <w:r w:rsidRPr="002C55C0">
        <w:t>() ранжируе</w:t>
      </w:r>
      <w:r w:rsidR="008F13A8">
        <w:t>т</w:t>
      </w:r>
      <w:r w:rsidRPr="002C55C0">
        <w:t xml:space="preserve"> каждого клиента </w:t>
      </w:r>
      <w:r w:rsidR="008F13A8">
        <w:t>среди</w:t>
      </w:r>
      <w:r w:rsidRPr="002C55C0">
        <w:t xml:space="preserve"> всех остальных. </w:t>
      </w:r>
    </w:p>
    <w:p w:rsidR="008F13A8" w:rsidRPr="008F13A8" w:rsidRDefault="008F13A8" w:rsidP="002C55C0">
      <w:pPr>
        <w:spacing w:after="120" w:line="240" w:lineRule="auto"/>
      </w:pPr>
      <w:r>
        <w:t>Обратите</w:t>
      </w:r>
      <w:r w:rsidRPr="008F13A8">
        <w:t xml:space="preserve"> </w:t>
      </w:r>
      <w:r>
        <w:t>внимание</w:t>
      </w:r>
      <w:r w:rsidRPr="008F13A8">
        <w:t xml:space="preserve"> </w:t>
      </w:r>
      <w:r>
        <w:t>на</w:t>
      </w:r>
      <w:r w:rsidRPr="008F13A8">
        <w:t xml:space="preserve"> </w:t>
      </w:r>
      <w:r w:rsidR="002C55C0" w:rsidRPr="002C55C0">
        <w:t>нижнюю</w:t>
      </w:r>
      <w:r w:rsidR="002C55C0" w:rsidRPr="008F13A8">
        <w:t xml:space="preserve"> </w:t>
      </w:r>
      <w:r w:rsidR="002C55C0" w:rsidRPr="002C55C0">
        <w:t>часть</w:t>
      </w:r>
      <w:r w:rsidR="002C55C0" w:rsidRPr="008F13A8">
        <w:t xml:space="preserve"> </w:t>
      </w:r>
      <w:r>
        <w:t>сводной</w:t>
      </w:r>
      <w:r w:rsidRPr="008F13A8">
        <w:t xml:space="preserve"> </w:t>
      </w:r>
      <w:r>
        <w:t>таблицы</w:t>
      </w:r>
      <w:r w:rsidRPr="008F13A8">
        <w:t>:</w:t>
      </w:r>
    </w:p>
    <w:p w:rsidR="008F13A8" w:rsidRDefault="006F7D3A" w:rsidP="002C55C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38650" cy="2057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6.8. Если имеется несколько одинаковых значений, следующий ранг отстоит на число таких повторени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A8" w:rsidRDefault="008F13A8" w:rsidP="002C55C0">
      <w:pPr>
        <w:spacing w:after="120" w:line="240" w:lineRule="auto"/>
      </w:pPr>
      <w:r>
        <w:t xml:space="preserve">Рис. 16.8. </w:t>
      </w:r>
      <w:r w:rsidR="006F7D3A">
        <w:t>Если имеется несколько одинаковых значений</w:t>
      </w:r>
      <w:r w:rsidR="006F7D3A" w:rsidRPr="006F7D3A">
        <w:t xml:space="preserve"> (</w:t>
      </w:r>
      <w:r w:rsidR="006F7D3A">
        <w:t xml:space="preserve">здесь это </w:t>
      </w:r>
      <w:r w:rsidR="006F7D3A" w:rsidRPr="006F7D3A">
        <w:t>$4)</w:t>
      </w:r>
      <w:r w:rsidR="006F7D3A">
        <w:t>, следующий ранг отстоит на число таких повторений</w:t>
      </w:r>
    </w:p>
    <w:p w:rsidR="006F7D3A" w:rsidRDefault="00364C1E" w:rsidP="006F7D3A">
      <w:pPr>
        <w:spacing w:after="120" w:line="240" w:lineRule="auto"/>
      </w:pPr>
      <w:r>
        <w:t xml:space="preserve">Если вас это не устраивает, выход есть. </w:t>
      </w:r>
      <w:r w:rsidR="006F7D3A">
        <w:t>На самом деле функция RANKX() имеет пять параметров</w:t>
      </w:r>
      <w:r>
        <w:t xml:space="preserve"> (три последних – необязательные)</w:t>
      </w:r>
      <w:r w:rsidR="006F7D3A">
        <w:t>:</w:t>
      </w:r>
    </w:p>
    <w:p w:rsidR="006F7D3A" w:rsidRDefault="006F7D3A" w:rsidP="006F7D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51799" cy="19897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6.9. Необязательные параметры функции RANKX(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17" cy="19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3A" w:rsidRDefault="006F7D3A" w:rsidP="006F7D3A">
      <w:pPr>
        <w:spacing w:after="120" w:line="240" w:lineRule="auto"/>
      </w:pPr>
      <w:r>
        <w:t>Рис. 16.9. Необязательные параметры функции</w:t>
      </w:r>
      <w:r w:rsidRPr="006F7D3A">
        <w:t xml:space="preserve"> </w:t>
      </w:r>
      <w:r>
        <w:t>RANKX()</w:t>
      </w:r>
    </w:p>
    <w:p w:rsidR="006F7D3A" w:rsidRDefault="00275556" w:rsidP="00275556">
      <w:pPr>
        <w:spacing w:after="120" w:line="240" w:lineRule="auto"/>
      </w:pPr>
      <w:r>
        <w:t xml:space="preserve">Параметр </w:t>
      </w:r>
      <w:r w:rsidR="00364C1E" w:rsidRPr="00364C1E">
        <w:t>[</w:t>
      </w:r>
      <w:r w:rsidR="00364C1E">
        <w:t>Значение</w:t>
      </w:r>
      <w:r w:rsidR="00364C1E" w:rsidRPr="00364C1E">
        <w:t>]</w:t>
      </w:r>
      <w:r w:rsidR="00364C1E">
        <w:t xml:space="preserve"> – возможно</w:t>
      </w:r>
      <w:r w:rsidR="006F7D3A">
        <w:t xml:space="preserve"> самы</w:t>
      </w:r>
      <w:r w:rsidR="00364C1E">
        <w:t>й</w:t>
      </w:r>
      <w:r w:rsidR="006F7D3A">
        <w:t xml:space="preserve"> загадочны</w:t>
      </w:r>
      <w:r w:rsidR="00364C1E">
        <w:t>й</w:t>
      </w:r>
      <w:r w:rsidR="006F7D3A">
        <w:t xml:space="preserve"> во всей Power Pivot. Мы рекомендуем всегда оставлять его пустым </w:t>
      </w:r>
      <w:r w:rsidR="00364C1E">
        <w:t>(</w:t>
      </w:r>
      <w:r w:rsidR="006F7D3A">
        <w:t xml:space="preserve">мы </w:t>
      </w:r>
      <w:r w:rsidR="00364C1E">
        <w:t xml:space="preserve">рассмотрим его </w:t>
      </w:r>
      <w:r>
        <w:t>еще</w:t>
      </w:r>
      <w:r w:rsidR="00364C1E">
        <w:t xml:space="preserve"> </w:t>
      </w:r>
      <w:r w:rsidR="006F7D3A">
        <w:t>в главе 17</w:t>
      </w:r>
      <w:r w:rsidR="00364C1E">
        <w:t xml:space="preserve">). </w:t>
      </w:r>
      <w:r w:rsidR="00364C1E" w:rsidRPr="00364C1E">
        <w:t>[</w:t>
      </w:r>
      <w:r w:rsidR="00364C1E">
        <w:t>Порядок</w:t>
      </w:r>
      <w:r w:rsidR="00364C1E" w:rsidRPr="00364C1E">
        <w:t>]</w:t>
      </w:r>
      <w:r w:rsidR="00364C1E">
        <w:t xml:space="preserve"> </w:t>
      </w:r>
      <w:r w:rsidR="006F7D3A">
        <w:t>позво</w:t>
      </w:r>
      <w:r w:rsidR="00364C1E">
        <w:t xml:space="preserve">ляет управлять порядком рангов: </w:t>
      </w:r>
      <w:r w:rsidR="006F7D3A">
        <w:t xml:space="preserve">по </w:t>
      </w:r>
      <w:r w:rsidR="00364C1E">
        <w:t>убыванию, когда самому большому значению соответствует ранг 1 (значение параметра 0</w:t>
      </w:r>
      <w:r>
        <w:t>, DESC</w:t>
      </w:r>
      <w:r w:rsidR="00364C1E">
        <w:t xml:space="preserve"> или пусто) или возрастанию (значение 1</w:t>
      </w:r>
      <w:r>
        <w:t xml:space="preserve"> или </w:t>
      </w:r>
      <w:r>
        <w:rPr>
          <w:lang w:val="en-US"/>
        </w:rPr>
        <w:t>ASC</w:t>
      </w:r>
      <w:r w:rsidR="00364C1E">
        <w:t>)</w:t>
      </w:r>
      <w:r w:rsidR="006F7D3A">
        <w:t>.</w:t>
      </w:r>
      <w:r w:rsidR="00364C1E">
        <w:t xml:space="preserve"> </w:t>
      </w:r>
      <w:r w:rsidR="00364C1E" w:rsidRPr="00364C1E">
        <w:t>[</w:t>
      </w:r>
      <w:r w:rsidR="00364C1E">
        <w:t>Равные</w:t>
      </w:r>
      <w:r w:rsidR="00364C1E" w:rsidRPr="00364C1E">
        <w:t>]</w:t>
      </w:r>
      <w:r w:rsidR="00364C1E">
        <w:t xml:space="preserve"> говорит о том, как ранжировать одинаковые значения: пропустить число рангов равное числу повторений (0</w:t>
      </w:r>
      <w:r>
        <w:t>,</w:t>
      </w:r>
      <w:r w:rsidR="00364C1E">
        <w:t xml:space="preserve"> </w:t>
      </w:r>
      <w:r>
        <w:rPr>
          <w:lang w:val="en-US"/>
        </w:rPr>
        <w:t>Skip</w:t>
      </w:r>
      <w:r w:rsidRPr="00275556">
        <w:t xml:space="preserve"> </w:t>
      </w:r>
      <w:r w:rsidR="00364C1E">
        <w:t>или пусто)</w:t>
      </w:r>
      <w:r>
        <w:t xml:space="preserve">, расположить ранги плотно (1 или </w:t>
      </w:r>
      <w:r w:rsidRPr="00275556">
        <w:rPr>
          <w:lang w:val="en-US"/>
        </w:rPr>
        <w:t>Dense</w:t>
      </w:r>
      <w:r>
        <w:t>)</w:t>
      </w:r>
      <w:r w:rsidR="006F7D3A">
        <w:t>:</w:t>
      </w:r>
    </w:p>
    <w:p w:rsidR="00275556" w:rsidRPr="00275556" w:rsidRDefault="00275556" w:rsidP="00275556">
      <w:pPr>
        <w:spacing w:after="120" w:line="240" w:lineRule="auto"/>
        <w:rPr>
          <w:lang w:val="en-US"/>
        </w:rPr>
      </w:pPr>
      <w:r w:rsidRPr="00275556">
        <w:rPr>
          <w:lang w:val="en-US"/>
        </w:rPr>
        <w:t>=RANKX(ALL(Customers[FullName]); [Total Sales];;;Dense)</w:t>
      </w:r>
    </w:p>
    <w:p w:rsidR="002C55C0" w:rsidRPr="00275556" w:rsidRDefault="00275556" w:rsidP="006F7D3A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15409" cy="2016510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6.10. «Плотное» расположение рангов в случае, если [Параметр]=Dens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812" cy="20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6" w:rsidRPr="00F13E01" w:rsidRDefault="00275556" w:rsidP="006F7D3A">
      <w:pPr>
        <w:spacing w:after="120" w:line="240" w:lineRule="auto"/>
      </w:pPr>
      <w:r>
        <w:t>Рис. 16.10.</w:t>
      </w:r>
      <w:r w:rsidRPr="00275556">
        <w:t xml:space="preserve"> </w:t>
      </w:r>
      <w:r>
        <w:t xml:space="preserve">«Плотное» расположение рангов в случае, если </w:t>
      </w:r>
      <w:r w:rsidRPr="00275556">
        <w:t>[</w:t>
      </w:r>
      <w:r w:rsidR="00F13E01">
        <w:t>Равные</w:t>
      </w:r>
      <w:r w:rsidRPr="00275556">
        <w:t>]=</w:t>
      </w:r>
      <w:r>
        <w:rPr>
          <w:lang w:val="en-US"/>
        </w:rPr>
        <w:t>Dense</w:t>
      </w:r>
    </w:p>
    <w:p w:rsidR="00F13E01" w:rsidRDefault="00F13E01" w:rsidP="00F13E01">
      <w:pPr>
        <w:spacing w:after="120" w:line="240" w:lineRule="auto"/>
      </w:pPr>
      <w:r>
        <w:lastRenderedPageBreak/>
        <w:t>Если у вас есть два клиента с одним и тем же полным именем, они будут объединены в одного клиента и ранжированы несправедливо высоко. Поэтому убедитесь, что вы ранжируете по уникальному полю. Мы рекомендуем объединить CustomerKey или что-то уникальное с полным именем, чтобы вы могли распознать клиента по имени и сохранить уникальность.</w:t>
      </w:r>
    </w:p>
    <w:p w:rsidR="00F13E01" w:rsidRDefault="00F13E01" w:rsidP="00F13E01">
      <w:pPr>
        <w:spacing w:after="120" w:line="240" w:lineRule="auto"/>
      </w:pPr>
      <w:r>
        <w:t xml:space="preserve">Больше о ранжировании вы можете узнать в </w:t>
      </w:r>
      <w:hyperlink r:id="rId22" w:history="1">
        <w:r w:rsidRPr="00F13E01">
          <w:rPr>
            <w:rStyle w:val="aa"/>
          </w:rPr>
          <w:t>нашей</w:t>
        </w:r>
      </w:hyperlink>
      <w:r>
        <w:t xml:space="preserve"> заметке</w:t>
      </w:r>
      <w:r w:rsidRPr="00F13E01">
        <w:t xml:space="preserve"> </w:t>
      </w:r>
      <w:r>
        <w:t>о ранжировании элементов внутри и между группами, с применением фильтров и т.п. (например, фруктовое мороженое может быть №1 в продаже мороженого, но быть №23 в десертах).</w:t>
      </w:r>
    </w:p>
    <w:p w:rsidR="00F13E01" w:rsidRDefault="00F13E01" w:rsidP="00F13E01">
      <w:pPr>
        <w:pStyle w:val="3"/>
      </w:pPr>
      <w:r>
        <w:t>TOPN()</w:t>
      </w:r>
    </w:p>
    <w:p w:rsidR="006D11BE" w:rsidRDefault="00F13E01" w:rsidP="00F13E01">
      <w:pPr>
        <w:spacing w:after="120" w:line="240" w:lineRule="auto"/>
      </w:pPr>
      <w:r>
        <w:t>TOP</w:t>
      </w:r>
      <w:r w:rsidR="006D11BE">
        <w:rPr>
          <w:lang w:val="en-US"/>
        </w:rPr>
        <w:t>N</w:t>
      </w:r>
      <w:r w:rsidR="006D11BE">
        <w:t>() –</w:t>
      </w:r>
      <w:r>
        <w:t xml:space="preserve"> не </w:t>
      </w:r>
      <w:r w:rsidR="006D11BE">
        <w:rPr>
          <w:lang w:val="en-US"/>
        </w:rPr>
        <w:t>X</w:t>
      </w:r>
      <w:r w:rsidR="006D11BE" w:rsidRPr="006D11BE">
        <w:t>-</w:t>
      </w:r>
      <w:r>
        <w:t>функция</w:t>
      </w:r>
      <w:r w:rsidR="006D11BE">
        <w:t>,</w:t>
      </w:r>
      <w:r>
        <w:t xml:space="preserve"> </w:t>
      </w:r>
      <w:r w:rsidR="006D11BE">
        <w:t>н</w:t>
      </w:r>
      <w:r>
        <w:t>о</w:t>
      </w:r>
      <w:r w:rsidR="006D11BE">
        <w:t xml:space="preserve"> она очень близка к</w:t>
      </w:r>
      <w:r>
        <w:t xml:space="preserve"> RANKX</w:t>
      </w:r>
      <w:r w:rsidR="006D11BE">
        <w:t>, т</w:t>
      </w:r>
      <w:r>
        <w:t xml:space="preserve">ак что </w:t>
      </w:r>
      <w:r w:rsidR="006D11BE">
        <w:t>будет рассмотрена здесь.</w:t>
      </w:r>
    </w:p>
    <w:p w:rsidR="006D11BE" w:rsidRDefault="006D11BE" w:rsidP="00F13E01">
      <w:pPr>
        <w:spacing w:after="120" w:line="240" w:lineRule="auto"/>
        <w:rPr>
          <w:lang w:val="en-US"/>
        </w:rPr>
      </w:pPr>
      <w:r w:rsidRPr="006D11BE">
        <w:rPr>
          <w:lang w:val="en-US"/>
        </w:rPr>
        <w:t>TOPN(&lt;n_value&gt;, &lt;table&gt;, &lt;orderBy_expression&gt;, [&lt;order&gt;],...)</w:t>
      </w:r>
    </w:p>
    <w:p w:rsidR="006D11BE" w:rsidRDefault="006D11BE" w:rsidP="00F13E0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57650" cy="1666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6.11. Синтаксис функции TOPN(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1BE" w:rsidRPr="006D11BE" w:rsidRDefault="006D11BE" w:rsidP="00F13E01">
      <w:pPr>
        <w:spacing w:after="120" w:line="240" w:lineRule="auto"/>
      </w:pPr>
      <w:r>
        <w:t>Рис. 16.11. Синтаксис функции TOP</w:t>
      </w:r>
      <w:r>
        <w:rPr>
          <w:lang w:val="en-US"/>
        </w:rPr>
        <w:t>N</w:t>
      </w:r>
      <w:r>
        <w:t>()</w:t>
      </w:r>
    </w:p>
    <w:p w:rsidR="00F13E01" w:rsidRDefault="006D11BE" w:rsidP="00AD1147">
      <w:pPr>
        <w:spacing w:after="120" w:line="240" w:lineRule="auto"/>
      </w:pPr>
      <w:r>
        <w:t>Функция в</w:t>
      </w:r>
      <w:r w:rsidR="00F13E01">
        <w:t>озвращает N верхних строк указанной таблицы.</w:t>
      </w:r>
      <w:r>
        <w:t xml:space="preserve"> </w:t>
      </w:r>
      <w:r w:rsidR="00F13E01">
        <w:t>RANK</w:t>
      </w:r>
      <w:r>
        <w:t>Х</w:t>
      </w:r>
      <w:r w:rsidR="00F13E01">
        <w:t xml:space="preserve"> присваивает числовой ранг. TOP</w:t>
      </w:r>
      <w:r>
        <w:rPr>
          <w:lang w:val="en-US"/>
        </w:rPr>
        <w:t>N</w:t>
      </w:r>
      <w:r w:rsidR="00F13E01">
        <w:t xml:space="preserve"> ранжирует строки, </w:t>
      </w:r>
      <w:r>
        <w:t>а</w:t>
      </w:r>
      <w:r w:rsidR="00F13E01">
        <w:t xml:space="preserve"> затем фильтрует их по N верхним строкам (N задано пользователем) и возвращает этот набор строк. Мы </w:t>
      </w:r>
      <w:r>
        <w:t>используем</w:t>
      </w:r>
      <w:r w:rsidR="00F13E01">
        <w:t xml:space="preserve"> </w:t>
      </w:r>
      <w:r>
        <w:t>TOP</w:t>
      </w:r>
      <w:r>
        <w:rPr>
          <w:lang w:val="en-US"/>
        </w:rPr>
        <w:t>N</w:t>
      </w:r>
      <w:r w:rsidR="00F13E01">
        <w:t xml:space="preserve">, когда нам нужно отфильтровать </w:t>
      </w:r>
      <w:r>
        <w:t>несколько</w:t>
      </w:r>
      <w:r w:rsidR="00F13E01">
        <w:t xml:space="preserve"> верхних строк (скажем, </w:t>
      </w:r>
      <w:r>
        <w:t>самые популярные</w:t>
      </w:r>
      <w:r w:rsidR="00F13E01">
        <w:t xml:space="preserve"> продукты, лучши</w:t>
      </w:r>
      <w:r>
        <w:t>е клиенты, лучшие продавцы и т.</w:t>
      </w:r>
      <w:r w:rsidR="00F13E01">
        <w:t xml:space="preserve">д.), </w:t>
      </w:r>
      <w:r>
        <w:t>а затем</w:t>
      </w:r>
      <w:r w:rsidR="00F13E01">
        <w:t xml:space="preserve"> выполни</w:t>
      </w:r>
      <w:r>
        <w:t>ть с ними</w:t>
      </w:r>
      <w:r w:rsidR="00F13E01">
        <w:t xml:space="preserve"> </w:t>
      </w:r>
      <w:r>
        <w:t>вычисления</w:t>
      </w:r>
      <w:r w:rsidR="00F13E01">
        <w:t xml:space="preserve">. </w:t>
      </w:r>
      <w:r>
        <w:t>Обратимся к</w:t>
      </w:r>
      <w:r w:rsidR="00F13E01">
        <w:t xml:space="preserve"> пример</w:t>
      </w:r>
      <w:r>
        <w:t>у</w:t>
      </w:r>
      <w:r w:rsidR="00F13E01">
        <w:t>.</w:t>
      </w:r>
      <w:r w:rsidR="00AD1147">
        <w:t xml:space="preserve"> Ниже приведен объем продаж и количество проданных продуктов в 2002 г.:</w:t>
      </w:r>
    </w:p>
    <w:p w:rsidR="00AD1147" w:rsidRDefault="00AD1147" w:rsidP="00AD114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99792" cy="3373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6.12. Объем продаж довольно стабилен от месяца к месяцу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409" cy="33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47" w:rsidRDefault="00AD1147" w:rsidP="00AD1147">
      <w:pPr>
        <w:spacing w:after="120" w:line="240" w:lineRule="auto"/>
      </w:pPr>
      <w:r>
        <w:t>Рис. 16.12. Объем продаж довольно стабилен от месяца к месяцу</w:t>
      </w:r>
    </w:p>
    <w:p w:rsidR="00AD1147" w:rsidRPr="00AD1147" w:rsidRDefault="00AD1147" w:rsidP="00AD1147">
      <w:pPr>
        <w:spacing w:after="120" w:line="240" w:lineRule="auto"/>
        <w:rPr>
          <w:lang w:val="en-US"/>
        </w:rPr>
      </w:pPr>
      <w:r w:rsidRPr="00AD1147">
        <w:t xml:space="preserve">Мы хотим </w:t>
      </w:r>
      <w:r>
        <w:t>посмотреть, насколько большой вклад в продажи вносят пять самых продаваемых продуктов (разных в разные месяцы). Создадим</w:t>
      </w:r>
      <w:r w:rsidRPr="00AD1147">
        <w:rPr>
          <w:lang w:val="en-US"/>
        </w:rPr>
        <w:t xml:space="preserve"> </w:t>
      </w:r>
      <w:r>
        <w:t>меру</w:t>
      </w:r>
      <w:r w:rsidRPr="00AD1147">
        <w:rPr>
          <w:lang w:val="en-US"/>
        </w:rPr>
        <w:t>:</w:t>
      </w:r>
    </w:p>
    <w:p w:rsidR="00AD1147" w:rsidRPr="00AD1147" w:rsidRDefault="00AD1147" w:rsidP="00AD1147">
      <w:pPr>
        <w:spacing w:after="0" w:line="240" w:lineRule="auto"/>
        <w:rPr>
          <w:lang w:val="en-US"/>
        </w:rPr>
      </w:pPr>
      <w:r w:rsidRPr="00AD1147">
        <w:rPr>
          <w:lang w:val="en-US"/>
        </w:rPr>
        <w:t>=CALCULATE(</w:t>
      </w:r>
    </w:p>
    <w:p w:rsidR="00AD1147" w:rsidRPr="00AD1147" w:rsidRDefault="00AD1147" w:rsidP="00AD1147">
      <w:pPr>
        <w:spacing w:after="0" w:line="240" w:lineRule="auto"/>
        <w:ind w:firstLine="708"/>
        <w:rPr>
          <w:lang w:val="en-US"/>
        </w:rPr>
      </w:pPr>
      <w:r w:rsidRPr="00AD1147">
        <w:rPr>
          <w:lang w:val="en-US"/>
        </w:rPr>
        <w:t>[Total Sales];</w:t>
      </w:r>
    </w:p>
    <w:p w:rsidR="00AD1147" w:rsidRPr="00AD1147" w:rsidRDefault="00AD1147" w:rsidP="00AD1147">
      <w:pPr>
        <w:spacing w:after="0" w:line="240" w:lineRule="auto"/>
        <w:ind w:firstLine="708"/>
        <w:rPr>
          <w:lang w:val="en-US"/>
        </w:rPr>
      </w:pPr>
      <w:r w:rsidRPr="00AD1147">
        <w:rPr>
          <w:lang w:val="en-US"/>
        </w:rPr>
        <w:lastRenderedPageBreak/>
        <w:t>TOPN(</w:t>
      </w:r>
      <w:r>
        <w:rPr>
          <w:lang w:val="en-US"/>
        </w:rPr>
        <w:t>5; Products; [Total Sales]</w:t>
      </w:r>
      <w:r w:rsidRPr="00AD1147">
        <w:rPr>
          <w:lang w:val="en-US"/>
        </w:rPr>
        <w:t>)</w:t>
      </w:r>
    </w:p>
    <w:p w:rsidR="00AD1147" w:rsidRDefault="00AD1147" w:rsidP="00AD1147">
      <w:pPr>
        <w:spacing w:after="120" w:line="240" w:lineRule="auto"/>
        <w:rPr>
          <w:lang w:val="en-US"/>
        </w:rPr>
      </w:pPr>
      <w:r w:rsidRPr="00AD1147">
        <w:rPr>
          <w:lang w:val="en-US"/>
        </w:rPr>
        <w:t>)</w:t>
      </w:r>
    </w:p>
    <w:p w:rsidR="00AD1147" w:rsidRPr="00AD1147" w:rsidRDefault="00AD1147" w:rsidP="00AD1147">
      <w:pPr>
        <w:spacing w:after="120" w:line="240" w:lineRule="auto"/>
      </w:pPr>
      <w:r>
        <w:t>Первый аргумент функции</w:t>
      </w:r>
      <w:r w:rsidRPr="00AD1147">
        <w:t xml:space="preserve"> </w:t>
      </w:r>
      <w:r w:rsidRPr="00AD1147">
        <w:rPr>
          <w:lang w:val="en-US"/>
        </w:rPr>
        <w:t>TOPN</w:t>
      </w:r>
      <w:r>
        <w:t xml:space="preserve"> – 5 – </w:t>
      </w:r>
      <w:r w:rsidRPr="00AD1147">
        <w:t>говорит сколько верхних строк</w:t>
      </w:r>
      <w:r>
        <w:t>, отсортированных по рангу,</w:t>
      </w:r>
      <w:r w:rsidRPr="00AD1147">
        <w:t xml:space="preserve"> должно быть возвращено.</w:t>
      </w:r>
      <w:r>
        <w:t xml:space="preserve"> Второй</w:t>
      </w:r>
      <w:r w:rsidRPr="00AD1147">
        <w:t xml:space="preserve"> аргумент</w:t>
      </w:r>
      <w:r>
        <w:t xml:space="preserve"> – </w:t>
      </w:r>
      <w:r>
        <w:rPr>
          <w:lang w:val="en-US"/>
        </w:rPr>
        <w:t>Products</w:t>
      </w:r>
      <w:r>
        <w:t xml:space="preserve"> – говорит</w:t>
      </w:r>
      <w:r w:rsidRPr="00AD1147">
        <w:t>, из к</w:t>
      </w:r>
      <w:r w:rsidR="005A43A6">
        <w:t>акой</w:t>
      </w:r>
      <w:r w:rsidRPr="00AD1147">
        <w:t xml:space="preserve"> </w:t>
      </w:r>
      <w:r>
        <w:t xml:space="preserve">таблицы </w:t>
      </w:r>
      <w:r w:rsidRPr="00AD1147">
        <w:t>должны быть извлечены строки.</w:t>
      </w:r>
      <w:r>
        <w:t xml:space="preserve"> (В</w:t>
      </w:r>
      <w:r w:rsidRPr="00AD1147">
        <w:t>ы не ограничены передачей имен таблиц, которые существуют в вашей модели</w:t>
      </w:r>
      <w:r>
        <w:t xml:space="preserve"> данных</w:t>
      </w:r>
      <w:r w:rsidRPr="00AD1147">
        <w:t>.</w:t>
      </w:r>
      <w:r>
        <w:t xml:space="preserve"> </w:t>
      </w:r>
      <w:r w:rsidRPr="00AD1147">
        <w:t xml:space="preserve">Можно использовать любое выражение </w:t>
      </w:r>
      <w:r w:rsidRPr="00AD1147">
        <w:rPr>
          <w:lang w:val="en-US"/>
        </w:rPr>
        <w:t>DAX</w:t>
      </w:r>
      <w:r w:rsidRPr="00AD1147">
        <w:t xml:space="preserve">, возвращающее таблицу, например </w:t>
      </w:r>
      <w:r w:rsidRPr="00AD1147">
        <w:rPr>
          <w:lang w:val="en-US"/>
        </w:rPr>
        <w:t>VALUES</w:t>
      </w:r>
      <w:r w:rsidRPr="00AD1147">
        <w:t xml:space="preserve">(), </w:t>
      </w:r>
      <w:r w:rsidRPr="00AD1147">
        <w:rPr>
          <w:lang w:val="en-US"/>
        </w:rPr>
        <w:t>FILTER</w:t>
      </w:r>
      <w:r w:rsidR="005A43A6">
        <w:t>(), …</w:t>
      </w:r>
      <w:r>
        <w:t xml:space="preserve">) Третий </w:t>
      </w:r>
      <w:r w:rsidRPr="00AD1147">
        <w:t>аргумент</w:t>
      </w:r>
      <w:r>
        <w:t xml:space="preserve"> –</w:t>
      </w:r>
      <w:r w:rsidR="005A43A6">
        <w:t xml:space="preserve"> </w:t>
      </w:r>
      <w:r w:rsidRPr="00AD1147">
        <w:t>[</w:t>
      </w:r>
      <w:r>
        <w:rPr>
          <w:lang w:val="en-US"/>
        </w:rPr>
        <w:t>Total</w:t>
      </w:r>
      <w:r w:rsidRPr="00AD1147">
        <w:t xml:space="preserve"> </w:t>
      </w:r>
      <w:r>
        <w:rPr>
          <w:lang w:val="en-US"/>
        </w:rPr>
        <w:t>Sales</w:t>
      </w:r>
      <w:r w:rsidRPr="00AD1147">
        <w:t>]</w:t>
      </w:r>
      <w:r>
        <w:t xml:space="preserve"> – </w:t>
      </w:r>
      <w:r w:rsidR="0079793A">
        <w:t xml:space="preserve">говорит, по </w:t>
      </w:r>
      <w:r>
        <w:t>каки</w:t>
      </w:r>
      <w:r w:rsidR="0079793A">
        <w:t>м</w:t>
      </w:r>
      <w:r>
        <w:t xml:space="preserve"> данны</w:t>
      </w:r>
      <w:r w:rsidR="0079793A">
        <w:t>м определять</w:t>
      </w:r>
      <w:r>
        <w:t xml:space="preserve"> пят</w:t>
      </w:r>
      <w:r w:rsidR="0079793A">
        <w:t>ь</w:t>
      </w:r>
      <w:r>
        <w:t xml:space="preserve"> </w:t>
      </w:r>
      <w:r w:rsidRPr="00AD1147">
        <w:t>верхни</w:t>
      </w:r>
      <w:r>
        <w:t>х</w:t>
      </w:r>
      <w:r w:rsidRPr="00AD1147">
        <w:t xml:space="preserve"> </w:t>
      </w:r>
      <w:r w:rsidR="005A43A6">
        <w:t>строк: по объему продаж, ценам</w:t>
      </w:r>
      <w:r w:rsidR="0079793A">
        <w:t xml:space="preserve"> прайс-листа, </w:t>
      </w:r>
      <w:r w:rsidRPr="00AD1147">
        <w:t>марж</w:t>
      </w:r>
      <w:r w:rsidR="0079793A">
        <w:t>инальности…</w:t>
      </w:r>
      <w:r w:rsidRPr="00AD1147">
        <w:t xml:space="preserve"> </w:t>
      </w:r>
      <w:r w:rsidR="0079793A">
        <w:t>Здесь можно указать</w:t>
      </w:r>
      <w:r w:rsidRPr="00AD1147">
        <w:t xml:space="preserve"> </w:t>
      </w:r>
      <w:r w:rsidR="0079793A">
        <w:t>любую</w:t>
      </w:r>
      <w:r w:rsidRPr="00AD1147">
        <w:t xml:space="preserve"> мер</w:t>
      </w:r>
      <w:r w:rsidR="0079793A">
        <w:t>у</w:t>
      </w:r>
      <w:r w:rsidRPr="00AD1147">
        <w:t xml:space="preserve">, </w:t>
      </w:r>
      <w:r w:rsidR="0079793A">
        <w:t>подходящую</w:t>
      </w:r>
      <w:r w:rsidRPr="00AD1147">
        <w:t xml:space="preserve"> для ранжирования строк.</w:t>
      </w:r>
    </w:p>
    <w:p w:rsidR="005A43A6" w:rsidRPr="005A43A6" w:rsidRDefault="005A43A6" w:rsidP="005A43A6">
      <w:pPr>
        <w:spacing w:after="120" w:line="240" w:lineRule="auto"/>
      </w:pPr>
      <w:r>
        <w:t>Д</w:t>
      </w:r>
      <w:r w:rsidRPr="005A43A6">
        <w:t xml:space="preserve">обавим еще одну </w:t>
      </w:r>
      <w:r w:rsidRPr="005A43A6">
        <w:rPr>
          <w:i/>
        </w:rPr>
        <w:t>производную</w:t>
      </w:r>
      <w:r w:rsidRPr="005A43A6">
        <w:t xml:space="preserve"> меру, </w:t>
      </w:r>
      <w:r>
        <w:t xml:space="preserve">показывающую долю продаж пяти продуктов, дающих наибольший вклад: </w:t>
      </w:r>
      <w:r w:rsidRPr="005A43A6">
        <w:t>=DIVIDE([Sales for Top 5 Products]; [Total Sales])</w:t>
      </w:r>
      <w:r>
        <w:t xml:space="preserve"> (Напомню, что функция </w:t>
      </w:r>
      <w:r>
        <w:rPr>
          <w:lang w:val="en-US"/>
        </w:rPr>
        <w:t>DIVIDE</w:t>
      </w:r>
      <w:r w:rsidRPr="005A43A6">
        <w:t xml:space="preserve"> </w:t>
      </w:r>
      <w:r>
        <w:t xml:space="preserve">от простого деления отличается тем, что при делении на ноль </w:t>
      </w:r>
      <w:r>
        <w:rPr>
          <w:lang w:val="en-US"/>
        </w:rPr>
        <w:t>DIVIDE</w:t>
      </w:r>
      <w:r>
        <w:t xml:space="preserve"> вернет ноль, а простое деление – значение ошибки.)</w:t>
      </w:r>
    </w:p>
    <w:p w:rsidR="005A43A6" w:rsidRDefault="005A43A6" w:rsidP="005A43A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16992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6.13. TOPN помогает наглядно увидеть, что происходит с нашим бизнесом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A6" w:rsidRDefault="005A43A6" w:rsidP="005A43A6">
      <w:pPr>
        <w:spacing w:after="120" w:line="240" w:lineRule="auto"/>
      </w:pPr>
      <w:r>
        <w:t xml:space="preserve">Рис. 16.13. </w:t>
      </w:r>
      <w:r w:rsidRPr="005A43A6">
        <w:t xml:space="preserve">TOPN помогает </w:t>
      </w:r>
      <w:r>
        <w:t>наглядно увидеть</w:t>
      </w:r>
      <w:r w:rsidRPr="005A43A6">
        <w:t>, что происходит с нашим бизнесом</w:t>
      </w:r>
    </w:p>
    <w:p w:rsidR="005A43A6" w:rsidRDefault="005A43A6" w:rsidP="005A43A6">
      <w:pPr>
        <w:spacing w:after="120" w:line="240" w:lineRule="auto"/>
      </w:pPr>
      <w:r>
        <w:t>В первом полугодии топовые модели давали слишком большую долю продаж. Во втором полугодии удалось снизить зависимость от продажи топовых моделей.</w:t>
      </w:r>
    </w:p>
    <w:p w:rsidR="005A43A6" w:rsidRPr="005A43A6" w:rsidRDefault="00B314D2" w:rsidP="00B314D2">
      <w:pPr>
        <w:pStyle w:val="3"/>
      </w:pPr>
      <w:r>
        <w:t xml:space="preserve">В качестве второго </w:t>
      </w:r>
      <w:r w:rsidR="005A43A6" w:rsidRPr="005A43A6">
        <w:t xml:space="preserve">аргумента </w:t>
      </w:r>
      <w:r>
        <w:t>Х-</w:t>
      </w:r>
      <w:r w:rsidR="005A43A6" w:rsidRPr="005A43A6">
        <w:t>функции</w:t>
      </w:r>
      <w:r>
        <w:t xml:space="preserve"> не обязательно использовать меру</w:t>
      </w:r>
    </w:p>
    <w:p w:rsidR="005A43A6" w:rsidRPr="005A43A6" w:rsidRDefault="00B314D2" w:rsidP="005A43A6">
      <w:pPr>
        <w:spacing w:after="120" w:line="240" w:lineRule="auto"/>
      </w:pPr>
      <w:r>
        <w:t>Н</w:t>
      </w:r>
      <w:r w:rsidR="005A43A6" w:rsidRPr="005A43A6">
        <w:t xml:space="preserve">а самом деле </w:t>
      </w:r>
      <w:r>
        <w:t>вы можете нарушить правило «</w:t>
      </w:r>
      <w:r w:rsidR="005A43A6" w:rsidRPr="005A43A6">
        <w:t>не</w:t>
      </w:r>
      <w:r>
        <w:t xml:space="preserve"> использовать</w:t>
      </w:r>
      <w:r w:rsidR="005A43A6" w:rsidRPr="005A43A6">
        <w:t xml:space="preserve"> голы</w:t>
      </w:r>
      <w:r>
        <w:t>е столбцы»</w:t>
      </w:r>
      <w:r w:rsidR="005A43A6" w:rsidRPr="005A43A6">
        <w:t xml:space="preserve">. </w:t>
      </w:r>
      <w:r>
        <w:t>Во втором</w:t>
      </w:r>
      <w:r w:rsidRPr="005A43A6">
        <w:t xml:space="preserve"> аргумент</w:t>
      </w:r>
      <w:r>
        <w:t>е Х-функции допустимо</w:t>
      </w:r>
      <w:r w:rsidR="005A43A6" w:rsidRPr="005A43A6">
        <w:t xml:space="preserve"> ввести имя столбца.</w:t>
      </w:r>
      <w:r>
        <w:t xml:space="preserve"> В</w:t>
      </w:r>
      <w:r w:rsidR="005A43A6" w:rsidRPr="005A43A6">
        <w:t xml:space="preserve">ы даже можете поместить туда формулу </w:t>
      </w:r>
      <w:r>
        <w:t>в стиле</w:t>
      </w:r>
      <w:r w:rsidR="005A43A6" w:rsidRPr="005A43A6">
        <w:t xml:space="preserve"> вычисляемого столбца, например</w:t>
      </w:r>
      <w:r>
        <w:t>,</w:t>
      </w:r>
      <w:r w:rsidR="005A43A6" w:rsidRPr="005A43A6">
        <w:t xml:space="preserve"> </w:t>
      </w:r>
      <w:r w:rsidR="005A43A6" w:rsidRPr="005A43A6">
        <w:rPr>
          <w:lang w:val="en-US"/>
        </w:rPr>
        <w:t>Customers</w:t>
      </w:r>
      <w:r w:rsidR="005A43A6" w:rsidRPr="005A43A6">
        <w:t>[</w:t>
      </w:r>
      <w:r w:rsidR="005A43A6" w:rsidRPr="005A43A6">
        <w:rPr>
          <w:lang w:val="en-US"/>
        </w:rPr>
        <w:t>YearlyIncome</w:t>
      </w:r>
      <w:r w:rsidR="005A43A6" w:rsidRPr="005A43A6">
        <w:t>]/</w:t>
      </w:r>
      <w:r w:rsidR="005A43A6" w:rsidRPr="005A43A6">
        <w:rPr>
          <w:lang w:val="en-US"/>
        </w:rPr>
        <w:t>Customers</w:t>
      </w:r>
      <w:r w:rsidR="005A43A6" w:rsidRPr="005A43A6">
        <w:t>[</w:t>
      </w:r>
      <w:r w:rsidR="005A43A6" w:rsidRPr="005A43A6">
        <w:rPr>
          <w:lang w:val="en-US"/>
        </w:rPr>
        <w:t>NumberOfChildren</w:t>
      </w:r>
      <w:r>
        <w:t>]</w:t>
      </w:r>
      <w:r w:rsidR="005A43A6" w:rsidRPr="005A43A6">
        <w:t>.</w:t>
      </w:r>
    </w:p>
    <w:p w:rsidR="005A43A6" w:rsidRPr="005A43A6" w:rsidRDefault="005A43A6" w:rsidP="00A7410C">
      <w:pPr>
        <w:pStyle w:val="3"/>
      </w:pPr>
      <w:r w:rsidRPr="005A43A6">
        <w:rPr>
          <w:lang w:val="en-US"/>
        </w:rPr>
        <w:t>COUNTAX</w:t>
      </w:r>
      <w:r w:rsidR="00A7410C">
        <w:t>()</w:t>
      </w:r>
    </w:p>
    <w:p w:rsidR="005A43A6" w:rsidRPr="005A43A6" w:rsidRDefault="005A43A6" w:rsidP="005A43A6">
      <w:pPr>
        <w:spacing w:after="120" w:line="240" w:lineRule="auto"/>
      </w:pPr>
      <w:r w:rsidRPr="005A43A6">
        <w:t xml:space="preserve">Когда вы используете меру в качестве второго аргумента, </w:t>
      </w:r>
      <w:r w:rsidR="00A7410C">
        <w:t>то рассчитываете</w:t>
      </w:r>
      <w:r w:rsidRPr="005A43A6">
        <w:t xml:space="preserve">, что </w:t>
      </w:r>
      <w:r w:rsidR="00A7410C">
        <w:t xml:space="preserve">функции </w:t>
      </w:r>
      <w:r w:rsidRPr="005A43A6">
        <w:rPr>
          <w:lang w:val="en-US"/>
        </w:rPr>
        <w:t>COUNTX</w:t>
      </w:r>
      <w:r w:rsidRPr="005A43A6">
        <w:t xml:space="preserve">() и </w:t>
      </w:r>
      <w:r w:rsidRPr="005A43A6">
        <w:rPr>
          <w:lang w:val="en-US"/>
        </w:rPr>
        <w:t>COUNTAX</w:t>
      </w:r>
      <w:r w:rsidRPr="005A43A6">
        <w:t xml:space="preserve">() вернут </w:t>
      </w:r>
      <w:r w:rsidR="00A7410C">
        <w:t>одинаковые</w:t>
      </w:r>
      <w:r w:rsidRPr="005A43A6">
        <w:t xml:space="preserve"> результаты.</w:t>
      </w:r>
      <w:r w:rsidR="00A7410C">
        <w:t xml:space="preserve"> </w:t>
      </w:r>
      <w:r w:rsidRPr="005A43A6">
        <w:t xml:space="preserve">Но </w:t>
      </w:r>
      <w:r w:rsidRPr="005A43A6">
        <w:rPr>
          <w:lang w:val="en-US"/>
        </w:rPr>
        <w:t>COUNTAX</w:t>
      </w:r>
      <w:r w:rsidRPr="005A43A6">
        <w:t>() позвол</w:t>
      </w:r>
      <w:r w:rsidR="00A7410C">
        <w:t>яе</w:t>
      </w:r>
      <w:r w:rsidRPr="005A43A6">
        <w:t xml:space="preserve">т использовать </w:t>
      </w:r>
      <w:r w:rsidR="00A7410C" w:rsidRPr="005A43A6">
        <w:t xml:space="preserve">в качестве второго аргумента </w:t>
      </w:r>
      <w:r w:rsidR="00A7410C">
        <w:t xml:space="preserve">также и </w:t>
      </w:r>
      <w:r w:rsidRPr="005A43A6">
        <w:t>текстовый столбец</w:t>
      </w:r>
      <w:r w:rsidR="00A7410C">
        <w:t>;</w:t>
      </w:r>
      <w:r w:rsidRPr="005A43A6">
        <w:t xml:space="preserve"> тогда как </w:t>
      </w:r>
      <w:r w:rsidRPr="005A43A6">
        <w:rPr>
          <w:lang w:val="en-US"/>
        </w:rPr>
        <w:t>COUNTX</w:t>
      </w:r>
      <w:r w:rsidRPr="005A43A6">
        <w:t>(), если вы используете столбец в качестве второго аргумента, требует, чтобы он был числовым или типом даты.</w:t>
      </w:r>
    </w:p>
    <w:p w:rsidR="007E15A0" w:rsidRDefault="00A7410C" w:rsidP="000F34DB">
      <w:pPr>
        <w:spacing w:after="120" w:line="240" w:lineRule="auto"/>
      </w:pPr>
      <w:r>
        <w:t>Для</w:t>
      </w:r>
      <w:r w:rsidRPr="007E15A0">
        <w:t xml:space="preserve"> </w:t>
      </w:r>
      <w:r>
        <w:t>иллюстрации</w:t>
      </w:r>
      <w:r w:rsidRPr="007E15A0">
        <w:t xml:space="preserve"> </w:t>
      </w:r>
      <w:r>
        <w:t>создадим</w:t>
      </w:r>
      <w:r w:rsidRPr="007E15A0">
        <w:t xml:space="preserve"> </w:t>
      </w:r>
      <w:r w:rsidR="007E15A0">
        <w:t>небольшую</w:t>
      </w:r>
      <w:r w:rsidR="007E15A0" w:rsidRPr="007E15A0">
        <w:t xml:space="preserve"> табли</w:t>
      </w:r>
      <w:r w:rsidR="007E15A0">
        <w:t>чку</w:t>
      </w:r>
      <w:r w:rsidR="007E15A0" w:rsidRPr="007E15A0">
        <w:t xml:space="preserve">, которую мы добавили в окно </w:t>
      </w:r>
      <w:r w:rsidR="007E15A0" w:rsidRPr="007E15A0">
        <w:rPr>
          <w:lang w:val="en-US"/>
        </w:rPr>
        <w:t>Power</w:t>
      </w:r>
      <w:r w:rsidR="007E15A0" w:rsidRPr="007E15A0">
        <w:t xml:space="preserve"> </w:t>
      </w:r>
      <w:r w:rsidR="007E15A0" w:rsidRPr="007E15A0">
        <w:rPr>
          <w:lang w:val="en-US"/>
        </w:rPr>
        <w:t>Pivot</w:t>
      </w:r>
      <w:r w:rsidR="007E15A0">
        <w:t>:</w:t>
      </w:r>
    </w:p>
    <w:p w:rsidR="007E15A0" w:rsidRDefault="007E15A0" w:rsidP="000F34D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314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6.14. COUNTAX() позволяет использовать имя столбца в качестве второго аргумент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A0" w:rsidRDefault="007E15A0" w:rsidP="000F34DB">
      <w:pPr>
        <w:spacing w:after="120" w:line="240" w:lineRule="auto"/>
      </w:pPr>
      <w:r>
        <w:t xml:space="preserve">Рис. 16.14. </w:t>
      </w:r>
      <w:r w:rsidRPr="007E15A0">
        <w:t>COUNTAX()</w:t>
      </w:r>
      <w:r>
        <w:t xml:space="preserve"> позволяет использовать имя столбца в качестве второго аргумента</w:t>
      </w:r>
    </w:p>
    <w:p w:rsidR="00AD1147" w:rsidRPr="009604AF" w:rsidRDefault="007E15A0" w:rsidP="005A43A6">
      <w:pPr>
        <w:spacing w:after="120" w:line="240" w:lineRule="auto"/>
      </w:pPr>
      <w:r>
        <w:t>А</w:t>
      </w:r>
      <w:r w:rsidRPr="007E15A0">
        <w:t xml:space="preserve"> </w:t>
      </w:r>
      <w:r>
        <w:t>вот</w:t>
      </w:r>
      <w:r w:rsidRPr="007E15A0">
        <w:t xml:space="preserve"> </w:t>
      </w:r>
      <w:r>
        <w:t>и</w:t>
      </w:r>
      <w:r w:rsidRPr="007E15A0">
        <w:t xml:space="preserve"> </w:t>
      </w:r>
      <w:r w:rsidR="00A7410C">
        <w:t>мер</w:t>
      </w:r>
      <w:r>
        <w:t>а, использующая столбец в качестве второго аргумента</w:t>
      </w:r>
      <w:r w:rsidR="005A43A6" w:rsidRPr="007E15A0">
        <w:t>:</w:t>
      </w:r>
      <w:r w:rsidR="000F34DB" w:rsidRPr="007E15A0">
        <w:t xml:space="preserve"> [</w:t>
      </w:r>
      <w:r w:rsidR="000F34DB" w:rsidRPr="005A43A6">
        <w:rPr>
          <w:lang w:val="en-US"/>
        </w:rPr>
        <w:t>COUNTAX</w:t>
      </w:r>
      <w:r w:rsidR="000F34DB" w:rsidRPr="007E15A0">
        <w:t xml:space="preserve"> </w:t>
      </w:r>
      <w:r w:rsidR="000F34DB" w:rsidRPr="005A43A6">
        <w:rPr>
          <w:lang w:val="en-US"/>
        </w:rPr>
        <w:t>Test</w:t>
      </w:r>
      <w:r w:rsidR="000F34DB" w:rsidRPr="007E15A0">
        <w:t xml:space="preserve">] = </w:t>
      </w:r>
      <w:r w:rsidR="000F34DB" w:rsidRPr="005A43A6">
        <w:rPr>
          <w:lang w:val="en-US"/>
        </w:rPr>
        <w:t>COUNTAX</w:t>
      </w:r>
      <w:r w:rsidR="000F34DB" w:rsidRPr="007E15A0">
        <w:t>(</w:t>
      </w:r>
      <w:r w:rsidR="000F34DB" w:rsidRPr="005A43A6">
        <w:rPr>
          <w:lang w:val="en-US"/>
        </w:rPr>
        <w:t>CountTest</w:t>
      </w:r>
      <w:r w:rsidR="000F34DB" w:rsidRPr="007E15A0">
        <w:t xml:space="preserve">; </w:t>
      </w:r>
      <w:r w:rsidR="000F34DB">
        <w:rPr>
          <w:lang w:val="en-US"/>
        </w:rPr>
        <w:t>CountTest</w:t>
      </w:r>
      <w:r w:rsidR="000F34DB" w:rsidRPr="007E15A0">
        <w:t>[</w:t>
      </w:r>
      <w:r w:rsidR="000F34DB">
        <w:rPr>
          <w:lang w:val="en-US"/>
        </w:rPr>
        <w:t>Column</w:t>
      </w:r>
      <w:r w:rsidR="000F34DB" w:rsidRPr="007E15A0">
        <w:t>1])</w:t>
      </w:r>
      <w:r>
        <w:t>. Мера возвращает 7 и</w:t>
      </w:r>
      <w:r w:rsidR="005A43A6" w:rsidRPr="005A43A6">
        <w:t xml:space="preserve">з 8-строчной таблицы. Таким образом, </w:t>
      </w:r>
      <w:r>
        <w:t>мера</w:t>
      </w:r>
      <w:r w:rsidR="005A43A6" w:rsidRPr="005A43A6">
        <w:t xml:space="preserve"> не </w:t>
      </w:r>
      <w:r>
        <w:t>по</w:t>
      </w:r>
      <w:r w:rsidR="005A43A6" w:rsidRPr="005A43A6">
        <w:t>считал</w:t>
      </w:r>
      <w:r>
        <w:t>а</w:t>
      </w:r>
      <w:r w:rsidR="005A43A6" w:rsidRPr="005A43A6">
        <w:t xml:space="preserve"> </w:t>
      </w:r>
      <w:r>
        <w:t xml:space="preserve">пустую </w:t>
      </w:r>
      <w:r w:rsidR="005A43A6" w:rsidRPr="005A43A6">
        <w:t>строку</w:t>
      </w:r>
      <w:r>
        <w:t xml:space="preserve">. </w:t>
      </w:r>
      <w:r w:rsidR="005A43A6" w:rsidRPr="005A43A6">
        <w:t xml:space="preserve">Измените </w:t>
      </w:r>
      <w:r w:rsidR="005A43A6" w:rsidRPr="005A43A6">
        <w:rPr>
          <w:lang w:val="en-US"/>
        </w:rPr>
        <w:t>COUNTAX</w:t>
      </w:r>
      <w:r w:rsidR="005A43A6" w:rsidRPr="005A43A6">
        <w:t xml:space="preserve">() на </w:t>
      </w:r>
      <w:r w:rsidR="005A43A6" w:rsidRPr="005A43A6">
        <w:rPr>
          <w:lang w:val="en-US"/>
        </w:rPr>
        <w:t>COUNTX</w:t>
      </w:r>
      <w:r>
        <w:t>() и мы получим ошибку:</w:t>
      </w:r>
      <w:r w:rsidR="005A43A6" w:rsidRPr="005A43A6">
        <w:t xml:space="preserve"> </w:t>
      </w:r>
      <w:r w:rsidR="005A43A6" w:rsidRPr="005A43A6">
        <w:rPr>
          <w:lang w:val="en-US"/>
        </w:rPr>
        <w:t>COUNTX</w:t>
      </w:r>
      <w:r w:rsidR="005A43A6" w:rsidRPr="005A43A6">
        <w:t>() отказывается принимать текстовый столбец в качестве второго аргумента.</w:t>
      </w:r>
      <w:bookmarkStart w:id="0" w:name="_GoBack"/>
      <w:bookmarkEnd w:id="0"/>
    </w:p>
    <w:sectPr w:rsidR="00AD1147" w:rsidRPr="009604AF" w:rsidSect="00800380">
      <w:headerReference w:type="even" r:id="rId27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A0" w:rsidRDefault="007E15A0" w:rsidP="00C93E69">
      <w:pPr>
        <w:spacing w:after="0" w:line="240" w:lineRule="auto"/>
      </w:pPr>
      <w:r>
        <w:separator/>
      </w:r>
    </w:p>
  </w:endnote>
  <w:endnote w:type="continuationSeparator" w:id="0">
    <w:p w:rsidR="007E15A0" w:rsidRDefault="007E15A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A0" w:rsidRDefault="007E15A0" w:rsidP="00C93E69">
      <w:pPr>
        <w:spacing w:after="0" w:line="240" w:lineRule="auto"/>
      </w:pPr>
      <w:r>
        <w:separator/>
      </w:r>
    </w:p>
  </w:footnote>
  <w:footnote w:type="continuationSeparator" w:id="0">
    <w:p w:rsidR="007E15A0" w:rsidRDefault="007E15A0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A0" w:rsidRDefault="007E15A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A0" w:rsidRPr="00F16194" w:rsidRDefault="007E15A0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7E15A0" w:rsidRPr="00F16194" w:rsidRDefault="007E15A0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2CAA"/>
    <w:rsid w:val="00025DCC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18F"/>
    <w:rsid w:val="00075B1F"/>
    <w:rsid w:val="00076B2E"/>
    <w:rsid w:val="000800ED"/>
    <w:rsid w:val="0008319F"/>
    <w:rsid w:val="0008528F"/>
    <w:rsid w:val="000873E8"/>
    <w:rsid w:val="00092270"/>
    <w:rsid w:val="00093176"/>
    <w:rsid w:val="000935DE"/>
    <w:rsid w:val="00095D6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E7B33"/>
    <w:rsid w:val="000F072A"/>
    <w:rsid w:val="000F08D8"/>
    <w:rsid w:val="000F34DB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6FE"/>
    <w:rsid w:val="00150D25"/>
    <w:rsid w:val="00150EBD"/>
    <w:rsid w:val="00152060"/>
    <w:rsid w:val="00152451"/>
    <w:rsid w:val="00154278"/>
    <w:rsid w:val="001557D4"/>
    <w:rsid w:val="00155CB5"/>
    <w:rsid w:val="001563CF"/>
    <w:rsid w:val="0015789A"/>
    <w:rsid w:val="0016171A"/>
    <w:rsid w:val="001628B4"/>
    <w:rsid w:val="00162C91"/>
    <w:rsid w:val="00164E6B"/>
    <w:rsid w:val="001653AE"/>
    <w:rsid w:val="00171717"/>
    <w:rsid w:val="001727D2"/>
    <w:rsid w:val="0017469E"/>
    <w:rsid w:val="00174999"/>
    <w:rsid w:val="00175218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2972"/>
    <w:rsid w:val="001A4A3D"/>
    <w:rsid w:val="001A590E"/>
    <w:rsid w:val="001A717A"/>
    <w:rsid w:val="001A74DD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E1D42"/>
    <w:rsid w:val="001E699D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16D76"/>
    <w:rsid w:val="00220B15"/>
    <w:rsid w:val="00220FF0"/>
    <w:rsid w:val="0022112C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A8F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4EFA"/>
    <w:rsid w:val="002C55C0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34DA"/>
    <w:rsid w:val="0032547F"/>
    <w:rsid w:val="0032554F"/>
    <w:rsid w:val="00326155"/>
    <w:rsid w:val="0032701D"/>
    <w:rsid w:val="00327BBC"/>
    <w:rsid w:val="00327C50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1E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7D9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0F1"/>
    <w:rsid w:val="003B69E2"/>
    <w:rsid w:val="003B6AF1"/>
    <w:rsid w:val="003B74DB"/>
    <w:rsid w:val="003C0342"/>
    <w:rsid w:val="003C1769"/>
    <w:rsid w:val="003C4F06"/>
    <w:rsid w:val="003C56A4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C4E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40DD"/>
    <w:rsid w:val="00444FE5"/>
    <w:rsid w:val="0044755B"/>
    <w:rsid w:val="0045427F"/>
    <w:rsid w:val="00455048"/>
    <w:rsid w:val="004556DE"/>
    <w:rsid w:val="00455EB6"/>
    <w:rsid w:val="004568CC"/>
    <w:rsid w:val="0046143D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473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6B42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2B3"/>
    <w:rsid w:val="005206DE"/>
    <w:rsid w:val="00523634"/>
    <w:rsid w:val="00523D77"/>
    <w:rsid w:val="0052620B"/>
    <w:rsid w:val="005302C6"/>
    <w:rsid w:val="00531139"/>
    <w:rsid w:val="00531E93"/>
    <w:rsid w:val="0053423A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A2C34"/>
    <w:rsid w:val="005A43A6"/>
    <w:rsid w:val="005A58CA"/>
    <w:rsid w:val="005A5921"/>
    <w:rsid w:val="005A6812"/>
    <w:rsid w:val="005B1692"/>
    <w:rsid w:val="005B2312"/>
    <w:rsid w:val="005B40D6"/>
    <w:rsid w:val="005B7C8A"/>
    <w:rsid w:val="005C0CB7"/>
    <w:rsid w:val="005D0B9F"/>
    <w:rsid w:val="005D35B7"/>
    <w:rsid w:val="005D4003"/>
    <w:rsid w:val="005D4B1F"/>
    <w:rsid w:val="005D531B"/>
    <w:rsid w:val="005D7E42"/>
    <w:rsid w:val="005E2B3F"/>
    <w:rsid w:val="005E494D"/>
    <w:rsid w:val="005E49FE"/>
    <w:rsid w:val="005E51D0"/>
    <w:rsid w:val="005E6279"/>
    <w:rsid w:val="005E7948"/>
    <w:rsid w:val="005E7FD4"/>
    <w:rsid w:val="005F3794"/>
    <w:rsid w:val="00603945"/>
    <w:rsid w:val="00603FD0"/>
    <w:rsid w:val="00605194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274A"/>
    <w:rsid w:val="006262B3"/>
    <w:rsid w:val="006279AD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94840"/>
    <w:rsid w:val="00694C3A"/>
    <w:rsid w:val="006A3AB0"/>
    <w:rsid w:val="006A3DBC"/>
    <w:rsid w:val="006A50CF"/>
    <w:rsid w:val="006A6331"/>
    <w:rsid w:val="006A652A"/>
    <w:rsid w:val="006A69AE"/>
    <w:rsid w:val="006B2249"/>
    <w:rsid w:val="006B31AB"/>
    <w:rsid w:val="006C0B03"/>
    <w:rsid w:val="006C0B8B"/>
    <w:rsid w:val="006C21CD"/>
    <w:rsid w:val="006C2A60"/>
    <w:rsid w:val="006C48EE"/>
    <w:rsid w:val="006D0293"/>
    <w:rsid w:val="006D11BE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6F7D3A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5A0"/>
    <w:rsid w:val="007E1B1F"/>
    <w:rsid w:val="007E6D1A"/>
    <w:rsid w:val="007F3EFC"/>
    <w:rsid w:val="007F4985"/>
    <w:rsid w:val="007F550C"/>
    <w:rsid w:val="007F7315"/>
    <w:rsid w:val="007F7C81"/>
    <w:rsid w:val="00800380"/>
    <w:rsid w:val="00800B55"/>
    <w:rsid w:val="0080375B"/>
    <w:rsid w:val="0081056D"/>
    <w:rsid w:val="00811087"/>
    <w:rsid w:val="00811C90"/>
    <w:rsid w:val="008145E2"/>
    <w:rsid w:val="008166C2"/>
    <w:rsid w:val="008167FE"/>
    <w:rsid w:val="00816D0A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57F4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04AF"/>
    <w:rsid w:val="00962E57"/>
    <w:rsid w:val="00963A58"/>
    <w:rsid w:val="009702CF"/>
    <w:rsid w:val="00972EFD"/>
    <w:rsid w:val="0097598B"/>
    <w:rsid w:val="00976709"/>
    <w:rsid w:val="00976F7C"/>
    <w:rsid w:val="009851FF"/>
    <w:rsid w:val="00986DBA"/>
    <w:rsid w:val="00992FDE"/>
    <w:rsid w:val="0099311F"/>
    <w:rsid w:val="009933B2"/>
    <w:rsid w:val="00994290"/>
    <w:rsid w:val="0099531E"/>
    <w:rsid w:val="009A3856"/>
    <w:rsid w:val="009A5A62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0626"/>
    <w:rsid w:val="00A31299"/>
    <w:rsid w:val="00A34BE7"/>
    <w:rsid w:val="00A35A40"/>
    <w:rsid w:val="00A36BC2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A2852"/>
    <w:rsid w:val="00AA5195"/>
    <w:rsid w:val="00AB04D5"/>
    <w:rsid w:val="00AB1683"/>
    <w:rsid w:val="00AB19C0"/>
    <w:rsid w:val="00AB39E3"/>
    <w:rsid w:val="00AB44B3"/>
    <w:rsid w:val="00AB44D5"/>
    <w:rsid w:val="00AB53C7"/>
    <w:rsid w:val="00AB6F0C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7E7A"/>
    <w:rsid w:val="00B314D2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53E86"/>
    <w:rsid w:val="00B53FEB"/>
    <w:rsid w:val="00B56D48"/>
    <w:rsid w:val="00B57B4D"/>
    <w:rsid w:val="00B644F1"/>
    <w:rsid w:val="00B65F14"/>
    <w:rsid w:val="00B67418"/>
    <w:rsid w:val="00B71C2F"/>
    <w:rsid w:val="00B7235D"/>
    <w:rsid w:val="00B72A2F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7950"/>
    <w:rsid w:val="00BE310A"/>
    <w:rsid w:val="00BE3E8C"/>
    <w:rsid w:val="00BE41D6"/>
    <w:rsid w:val="00BE4B69"/>
    <w:rsid w:val="00BE4E83"/>
    <w:rsid w:val="00BE71AA"/>
    <w:rsid w:val="00BE7B53"/>
    <w:rsid w:val="00BF2BF0"/>
    <w:rsid w:val="00BF2DD9"/>
    <w:rsid w:val="00BF31A8"/>
    <w:rsid w:val="00BF3405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5CAC"/>
    <w:rsid w:val="00C42FF2"/>
    <w:rsid w:val="00C4310F"/>
    <w:rsid w:val="00C45941"/>
    <w:rsid w:val="00C4607F"/>
    <w:rsid w:val="00C46235"/>
    <w:rsid w:val="00C46EEF"/>
    <w:rsid w:val="00C476E1"/>
    <w:rsid w:val="00C52029"/>
    <w:rsid w:val="00C529DF"/>
    <w:rsid w:val="00C55B5C"/>
    <w:rsid w:val="00C6103B"/>
    <w:rsid w:val="00C6121B"/>
    <w:rsid w:val="00C63441"/>
    <w:rsid w:val="00C65A37"/>
    <w:rsid w:val="00C707BF"/>
    <w:rsid w:val="00C743B3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25DCA"/>
    <w:rsid w:val="00D320FC"/>
    <w:rsid w:val="00D32AB1"/>
    <w:rsid w:val="00D330EA"/>
    <w:rsid w:val="00D332A4"/>
    <w:rsid w:val="00D34C0C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615C"/>
    <w:rsid w:val="00D7763A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4907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38C1"/>
    <w:rsid w:val="00EC6324"/>
    <w:rsid w:val="00EC6A58"/>
    <w:rsid w:val="00EC7AF1"/>
    <w:rsid w:val="00ED1555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11F4"/>
    <w:rsid w:val="00F02CAE"/>
    <w:rsid w:val="00F03C29"/>
    <w:rsid w:val="00F04707"/>
    <w:rsid w:val="00F055B7"/>
    <w:rsid w:val="00F13E01"/>
    <w:rsid w:val="00F15D0A"/>
    <w:rsid w:val="00F16194"/>
    <w:rsid w:val="00F17398"/>
    <w:rsid w:val="00F17DEF"/>
    <w:rsid w:val="00F21107"/>
    <w:rsid w:val="00F21E07"/>
    <w:rsid w:val="00F22044"/>
    <w:rsid w:val="00F24745"/>
    <w:rsid w:val="00F26EB6"/>
    <w:rsid w:val="00F27AC1"/>
    <w:rsid w:val="00F27BB9"/>
    <w:rsid w:val="00F32A7C"/>
    <w:rsid w:val="00F33A35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500"/>
    <w:rsid w:val="00F80BC9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8C"/>
    <w:rsid w:val="00FA7366"/>
    <w:rsid w:val="00FA7948"/>
    <w:rsid w:val="00FB173E"/>
    <w:rsid w:val="00FB2F22"/>
    <w:rsid w:val="00FB4A56"/>
    <w:rsid w:val="00FB4E5C"/>
    <w:rsid w:val="00FB6F33"/>
    <w:rsid w:val="00FC00F5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026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634" TargetMode="External"/><Relationship Id="rId23" Type="http://schemas.openxmlformats.org/officeDocument/2006/relationships/image" Target="media/image11.jpg"/><Relationship Id="rId28" Type="http://schemas.openxmlformats.org/officeDocument/2006/relationships/fontTable" Target="fontTable.xml"/><Relationship Id="rId10" Type="http://schemas.openxmlformats.org/officeDocument/2006/relationships/hyperlink" Target="http://baguzin.ru/wp/?p=19780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powerpivotpro.com/2015/06/rankx-apalooza-within-and-across-groups-with-filters-etc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0E85-844A-4B95-B5B7-E9363AFE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2019-02-10T17:18:00Z</cp:lastPrinted>
  <dcterms:created xsi:type="dcterms:W3CDTF">2019-01-20T15:38:00Z</dcterms:created>
  <dcterms:modified xsi:type="dcterms:W3CDTF">2019-02-10T17:28:00Z</dcterms:modified>
</cp:coreProperties>
</file>