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30" w:rsidRPr="00AF7530" w:rsidRDefault="00AF7530" w:rsidP="00421C8D">
      <w:pPr>
        <w:spacing w:after="120"/>
        <w:rPr>
          <w:b/>
          <w:color w:val="000000" w:themeColor="text1"/>
          <w:sz w:val="28"/>
        </w:rPr>
      </w:pPr>
      <w:r w:rsidRPr="00AF7530">
        <w:rPr>
          <w:b/>
          <w:color w:val="000000" w:themeColor="text1"/>
          <w:sz w:val="28"/>
        </w:rPr>
        <w:t>Корреляционный анализ для бизнеса</w:t>
      </w:r>
    </w:p>
    <w:p w:rsidR="00AF7530" w:rsidRPr="006A6DE4" w:rsidRDefault="00E20B41" w:rsidP="00421C8D">
      <w:pPr>
        <w:pStyle w:val="a7"/>
        <w:spacing w:before="0" w:beforeAutospacing="0" w:after="120" w:afterAutospacing="0"/>
        <w:rPr>
          <w:rFonts w:asciiTheme="minorHAnsi" w:hAnsiTheme="minorHAnsi"/>
          <w:sz w:val="22"/>
        </w:rPr>
      </w:pPr>
      <w:hyperlink r:id="rId8" w:history="1">
        <w:proofErr w:type="spellStart"/>
        <w:proofErr w:type="gramStart"/>
        <w:r w:rsidR="00AF7530" w:rsidRPr="00AF7530">
          <w:rPr>
            <w:rStyle w:val="a6"/>
            <w:rFonts w:asciiTheme="minorHAnsi" w:hAnsiTheme="minorHAnsi"/>
            <w:b/>
            <w:bCs/>
            <w:sz w:val="22"/>
          </w:rPr>
          <w:t>Корреля́ция</w:t>
        </w:r>
        <w:proofErr w:type="spellEnd"/>
        <w:proofErr w:type="gramEnd"/>
        <w:r w:rsidR="00AF7530" w:rsidRPr="00AF7530">
          <w:rPr>
            <w:rStyle w:val="a6"/>
            <w:rFonts w:asciiTheme="minorHAnsi" w:hAnsiTheme="minorHAnsi"/>
            <w:sz w:val="22"/>
          </w:rPr>
          <w:t> </w:t>
        </w:r>
      </w:hyperlink>
      <w:r w:rsidR="00AF7530" w:rsidRPr="00AF7530">
        <w:rPr>
          <w:rFonts w:asciiTheme="minorHAnsi" w:hAnsiTheme="minorHAnsi"/>
          <w:sz w:val="22"/>
        </w:rPr>
        <w:t>— статистическая взаимосвязь двух или нескольких случайных величин. При этом изменения одной или нескольких из этих величин приводят к систематическому изменению другой или других величин. Математической мерой корреляции двух случайных величин служит коэффициент кор</w:t>
      </w:r>
      <w:r w:rsidR="00485633">
        <w:rPr>
          <w:rFonts w:asciiTheme="minorHAnsi" w:hAnsiTheme="minorHAnsi"/>
          <w:sz w:val="22"/>
        </w:rPr>
        <w:t>реляции</w:t>
      </w:r>
      <w:r w:rsidR="00485633" w:rsidRPr="00485633">
        <w:rPr>
          <w:rFonts w:asciiTheme="minorHAnsi" w:hAnsiTheme="minorHAnsi"/>
          <w:sz w:val="22"/>
        </w:rPr>
        <w:t xml:space="preserve"> – </w:t>
      </w:r>
      <w:r w:rsidR="00485633">
        <w:rPr>
          <w:rFonts w:asciiTheme="minorHAnsi" w:hAnsiTheme="minorHAnsi"/>
          <w:sz w:val="22"/>
          <w:lang w:val="en-US"/>
        </w:rPr>
        <w:t>k</w:t>
      </w:r>
      <w:r w:rsidR="00485633" w:rsidRPr="00485633">
        <w:rPr>
          <w:rFonts w:asciiTheme="minorHAnsi" w:hAnsiTheme="minorHAnsi"/>
          <w:sz w:val="22"/>
        </w:rPr>
        <w:t xml:space="preserve">. </w:t>
      </w:r>
      <w:r w:rsidR="00485633">
        <w:rPr>
          <w:rFonts w:asciiTheme="minorHAnsi" w:hAnsiTheme="minorHAnsi"/>
          <w:sz w:val="22"/>
          <w:lang w:val="en-US"/>
        </w:rPr>
        <w:t>k</w:t>
      </w:r>
      <w:r w:rsidR="00485633" w:rsidRPr="00485633">
        <w:rPr>
          <w:rFonts w:asciiTheme="minorHAnsi" w:hAnsiTheme="minorHAnsi"/>
          <w:sz w:val="22"/>
        </w:rPr>
        <w:t xml:space="preserve"> </w:t>
      </w:r>
      <w:r w:rsidR="00485633">
        <w:rPr>
          <w:rFonts w:asciiTheme="minorHAnsi" w:hAnsiTheme="minorHAnsi"/>
          <w:sz w:val="22"/>
        </w:rPr>
        <w:t xml:space="preserve">изменяется от -1 до 1. </w:t>
      </w:r>
      <w:r w:rsidR="00485633">
        <w:rPr>
          <w:rFonts w:asciiTheme="minorHAnsi" w:hAnsiTheme="minorHAnsi"/>
          <w:sz w:val="22"/>
          <w:lang w:val="en-US"/>
        </w:rPr>
        <w:t>k</w:t>
      </w:r>
      <w:r w:rsidR="00485633">
        <w:rPr>
          <w:rFonts w:asciiTheme="minorHAnsi" w:hAnsiTheme="minorHAnsi"/>
          <w:sz w:val="22"/>
        </w:rPr>
        <w:t xml:space="preserve"> =-1 устанавливает обратную пропорциональность; </w:t>
      </w:r>
      <w:r w:rsidR="00485633">
        <w:rPr>
          <w:rFonts w:asciiTheme="minorHAnsi" w:hAnsiTheme="minorHAnsi"/>
          <w:sz w:val="22"/>
          <w:lang w:val="en-US"/>
        </w:rPr>
        <w:t>k</w:t>
      </w:r>
      <w:r w:rsidR="00485633">
        <w:rPr>
          <w:rFonts w:asciiTheme="minorHAnsi" w:hAnsiTheme="minorHAnsi"/>
          <w:sz w:val="22"/>
        </w:rPr>
        <w:t xml:space="preserve">=1 – прямую пропорциональность; </w:t>
      </w:r>
      <w:r w:rsidR="00485633">
        <w:rPr>
          <w:rFonts w:asciiTheme="minorHAnsi" w:hAnsiTheme="minorHAnsi"/>
          <w:sz w:val="22"/>
          <w:lang w:val="en-US"/>
        </w:rPr>
        <w:t>k</w:t>
      </w:r>
      <w:r w:rsidR="00485633">
        <w:rPr>
          <w:rFonts w:asciiTheme="minorHAnsi" w:hAnsiTheme="minorHAnsi"/>
          <w:sz w:val="22"/>
        </w:rPr>
        <w:t xml:space="preserve">=0 – соответствует отсутствию какой-либо зависимости между случайными величинами; чем ближе </w:t>
      </w:r>
      <w:r w:rsidR="00485633">
        <w:rPr>
          <w:rFonts w:asciiTheme="minorHAnsi" w:hAnsiTheme="minorHAnsi"/>
          <w:sz w:val="22"/>
          <w:lang w:val="en-US"/>
        </w:rPr>
        <w:t>k</w:t>
      </w:r>
      <w:r w:rsidR="00485633">
        <w:rPr>
          <w:rFonts w:asciiTheme="minorHAnsi" w:hAnsiTheme="minorHAnsi"/>
          <w:sz w:val="22"/>
        </w:rPr>
        <w:t xml:space="preserve"> к 1 (</w:t>
      </w:r>
      <w:r w:rsidR="006D3F38">
        <w:rPr>
          <w:rFonts w:asciiTheme="minorHAnsi" w:hAnsiTheme="minorHAnsi"/>
          <w:sz w:val="22"/>
        </w:rPr>
        <w:t xml:space="preserve">или </w:t>
      </w:r>
      <w:r w:rsidR="00485633">
        <w:rPr>
          <w:rFonts w:asciiTheme="minorHAnsi" w:hAnsiTheme="minorHAnsi"/>
          <w:sz w:val="22"/>
        </w:rPr>
        <w:t xml:space="preserve">к -1), тем сильнее зависимость; </w:t>
      </w:r>
      <w:proofErr w:type="gramStart"/>
      <w:r w:rsidR="00485633">
        <w:rPr>
          <w:rFonts w:asciiTheme="minorHAnsi" w:hAnsiTheme="minorHAnsi"/>
          <w:sz w:val="22"/>
        </w:rPr>
        <w:t>величину</w:t>
      </w:r>
      <w:proofErr w:type="gramEnd"/>
      <w:r w:rsidR="00485633">
        <w:rPr>
          <w:rFonts w:asciiTheme="minorHAnsi" w:hAnsiTheme="minorHAnsi"/>
          <w:sz w:val="22"/>
        </w:rPr>
        <w:t xml:space="preserve"> </w:t>
      </w:r>
      <w:r w:rsidR="00485633">
        <w:rPr>
          <w:rFonts w:asciiTheme="minorHAnsi" w:hAnsiTheme="minorHAnsi"/>
          <w:sz w:val="22"/>
          <w:lang w:val="en-US"/>
        </w:rPr>
        <w:t>k</w:t>
      </w:r>
      <w:r w:rsidR="00485633">
        <w:rPr>
          <w:rFonts w:asciiTheme="minorHAnsi" w:hAnsiTheme="minorHAnsi"/>
          <w:sz w:val="22"/>
        </w:rPr>
        <w:t xml:space="preserve"> можно интерпретировать следующим образом: «</w:t>
      </w:r>
      <w:proofErr w:type="gramStart"/>
      <w:r w:rsidR="00485633">
        <w:rPr>
          <w:rFonts w:asciiTheme="minorHAnsi" w:hAnsiTheme="minorHAnsi"/>
          <w:sz w:val="22"/>
        </w:rPr>
        <w:t>какую</w:t>
      </w:r>
      <w:proofErr w:type="gramEnd"/>
      <w:r w:rsidR="00485633">
        <w:rPr>
          <w:rFonts w:asciiTheme="minorHAnsi" w:hAnsiTheme="minorHAnsi"/>
          <w:sz w:val="22"/>
        </w:rPr>
        <w:t xml:space="preserve"> часть изменений одной случайной величины определяют изменения другой случайно</w:t>
      </w:r>
      <w:r w:rsidR="006D3F38">
        <w:rPr>
          <w:rFonts w:asciiTheme="minorHAnsi" w:hAnsiTheme="minorHAnsi"/>
          <w:sz w:val="22"/>
        </w:rPr>
        <w:t>й</w:t>
      </w:r>
      <w:r w:rsidR="00485633">
        <w:rPr>
          <w:rFonts w:asciiTheme="minorHAnsi" w:hAnsiTheme="minorHAnsi"/>
          <w:sz w:val="22"/>
        </w:rPr>
        <w:t xml:space="preserve"> величины</w:t>
      </w:r>
      <w:r w:rsidR="006A6DE4">
        <w:rPr>
          <w:rFonts w:asciiTheme="minorHAnsi" w:hAnsiTheme="minorHAnsi"/>
          <w:sz w:val="22"/>
        </w:rPr>
        <w:t>». Например (</w:t>
      </w:r>
      <w:proofErr w:type="gramStart"/>
      <w:r w:rsidR="006A6DE4">
        <w:rPr>
          <w:rFonts w:asciiTheme="minorHAnsi" w:hAnsiTheme="minorHAnsi"/>
          <w:sz w:val="22"/>
        </w:rPr>
        <w:t>см</w:t>
      </w:r>
      <w:proofErr w:type="gramEnd"/>
      <w:r w:rsidR="006A6DE4">
        <w:rPr>
          <w:rFonts w:asciiTheme="minorHAnsi" w:hAnsiTheme="minorHAnsi"/>
          <w:sz w:val="22"/>
        </w:rPr>
        <w:t xml:space="preserve">. ниже), коэффициент корреляции между бюджетом клуба и его местом в чемпионате страны </w:t>
      </w:r>
      <w:r w:rsidR="006A6DE4">
        <w:rPr>
          <w:rFonts w:asciiTheme="minorHAnsi" w:hAnsiTheme="minorHAnsi"/>
          <w:sz w:val="22"/>
          <w:lang w:val="en-US"/>
        </w:rPr>
        <w:t>k</w:t>
      </w:r>
      <w:r w:rsidR="006A6DE4">
        <w:rPr>
          <w:rFonts w:asciiTheme="minorHAnsi" w:hAnsiTheme="minorHAnsi"/>
          <w:sz w:val="22"/>
        </w:rPr>
        <w:t>=-0,63. То есть, на 63% успех в чемпионате определяется бюджетом.</w:t>
      </w:r>
    </w:p>
    <w:p w:rsidR="00AF7530" w:rsidRPr="00421C8D" w:rsidRDefault="00AF7530" w:rsidP="00421C8D">
      <w:pPr>
        <w:spacing w:after="120"/>
        <w:rPr>
          <w:color w:val="000000" w:themeColor="text1"/>
        </w:rPr>
      </w:pPr>
      <w:r>
        <w:rPr>
          <w:color w:val="000000" w:themeColor="text1"/>
        </w:rPr>
        <w:t>В своей работе менеджера я постоянно использую корреляционный анализ. Например, недавно я о</w:t>
      </w:r>
      <w:r w:rsidRPr="00AF7530">
        <w:rPr>
          <w:color w:val="000000" w:themeColor="text1"/>
        </w:rPr>
        <w:t>бнаружил, как и предполагал</w:t>
      </w:r>
      <w:r w:rsidR="006031E7">
        <w:rPr>
          <w:color w:val="000000" w:themeColor="text1"/>
        </w:rPr>
        <w:t xml:space="preserve"> </w:t>
      </w:r>
      <w:r w:rsidR="006031E7" w:rsidRPr="006031E7">
        <w:rPr>
          <w:color w:val="000000" w:themeColor="text1"/>
        </w:rPr>
        <w:sym w:font="Wingdings" w:char="F04A"/>
      </w:r>
      <w:r w:rsidRPr="00AF7530">
        <w:rPr>
          <w:color w:val="000000" w:themeColor="text1"/>
        </w:rPr>
        <w:t xml:space="preserve">, сильную корреляцию между стажем </w:t>
      </w:r>
      <w:r w:rsidR="006031E7">
        <w:rPr>
          <w:color w:val="000000" w:themeColor="text1"/>
        </w:rPr>
        <w:t xml:space="preserve">работы в компании </w:t>
      </w:r>
      <w:r w:rsidRPr="00AF7530">
        <w:rPr>
          <w:color w:val="000000" w:themeColor="text1"/>
        </w:rPr>
        <w:t xml:space="preserve">и </w:t>
      </w:r>
      <w:r>
        <w:rPr>
          <w:color w:val="000000" w:themeColor="text1"/>
        </w:rPr>
        <w:t>заработной платой</w:t>
      </w:r>
      <w:r w:rsidR="006031E7">
        <w:rPr>
          <w:color w:val="000000" w:themeColor="text1"/>
        </w:rPr>
        <w:t xml:space="preserve"> (ЗП);</w:t>
      </w:r>
      <w:r w:rsidR="006031E7">
        <w:rPr>
          <w:rStyle w:val="aa"/>
          <w:color w:val="000000" w:themeColor="text1"/>
        </w:rPr>
        <w:footnoteReference w:id="1"/>
      </w:r>
      <w:r w:rsidR="006031E7">
        <w:rPr>
          <w:color w:val="000000" w:themeColor="text1"/>
        </w:rPr>
        <w:t xml:space="preserve"> </w:t>
      </w:r>
      <w:r w:rsidRPr="00AF7530">
        <w:rPr>
          <w:color w:val="000000" w:themeColor="text1"/>
        </w:rPr>
        <w:t xml:space="preserve">см. </w:t>
      </w:r>
      <w:r>
        <w:rPr>
          <w:color w:val="000000" w:themeColor="text1"/>
        </w:rPr>
        <w:t xml:space="preserve">также </w:t>
      </w:r>
      <w:hyperlink r:id="rId9" w:history="1">
        <w:r w:rsidRPr="00AF7530">
          <w:rPr>
            <w:rStyle w:val="a6"/>
            <w:lang w:val="en-US"/>
          </w:rPr>
          <w:t>Ex</w:t>
        </w:r>
        <w:r w:rsidRPr="00AF7530">
          <w:rPr>
            <w:rStyle w:val="a6"/>
            <w:lang w:val="en-US"/>
          </w:rPr>
          <w:t>c</w:t>
        </w:r>
        <w:r w:rsidRPr="00AF7530">
          <w:rPr>
            <w:rStyle w:val="a6"/>
            <w:lang w:val="en-US"/>
          </w:rPr>
          <w:t>el</w:t>
        </w:r>
      </w:hyperlink>
      <w:r w:rsidRPr="00AF7530">
        <w:rPr>
          <w:color w:val="000000" w:themeColor="text1"/>
        </w:rPr>
        <w:t>-файл</w:t>
      </w:r>
      <w:r w:rsidR="00421C8D">
        <w:rPr>
          <w:color w:val="000000" w:themeColor="text1"/>
        </w:rPr>
        <w:t>:</w:t>
      </w:r>
    </w:p>
    <w:p w:rsidR="00392E41" w:rsidRPr="00AF7530" w:rsidRDefault="00421C8D" w:rsidP="00421C8D">
      <w:pPr>
        <w:spacing w:after="120"/>
        <w:rPr>
          <w:color w:val="000000" w:themeColor="text1"/>
        </w:rPr>
      </w:pPr>
      <w:r w:rsidRPr="00421C8D">
        <w:rPr>
          <w:noProof/>
          <w:color w:val="000000" w:themeColor="text1"/>
        </w:rPr>
        <w:drawing>
          <wp:inline distT="0" distB="0" distL="0" distR="0">
            <wp:extent cx="5079678" cy="3047785"/>
            <wp:effectExtent l="19050" t="0" r="25722" b="21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2E41" w:rsidRDefault="006031E7" w:rsidP="00421C8D">
      <w:pPr>
        <w:spacing w:after="120"/>
        <w:rPr>
          <w:color w:val="000000" w:themeColor="text1"/>
        </w:rPr>
      </w:pPr>
      <w:r>
        <w:rPr>
          <w:color w:val="000000" w:themeColor="text1"/>
        </w:rPr>
        <w:t>К</w:t>
      </w:r>
      <w:r w:rsidR="00392E41" w:rsidRPr="00AF7530">
        <w:rPr>
          <w:color w:val="000000" w:themeColor="text1"/>
        </w:rPr>
        <w:t>оэффициент корреляции между стажем и ЗП состав</w:t>
      </w:r>
      <w:r>
        <w:rPr>
          <w:color w:val="000000" w:themeColor="text1"/>
        </w:rPr>
        <w:t>и</w:t>
      </w:r>
      <w:r w:rsidR="00392E41" w:rsidRPr="00AF7530">
        <w:rPr>
          <w:color w:val="000000" w:themeColor="text1"/>
        </w:rPr>
        <w:t xml:space="preserve">л </w:t>
      </w:r>
      <w:r w:rsidR="00392E41" w:rsidRPr="006031E7">
        <w:rPr>
          <w:bCs/>
          <w:color w:val="000000" w:themeColor="text1"/>
        </w:rPr>
        <w:t>0,6</w:t>
      </w:r>
      <w:r w:rsidR="00392E41" w:rsidRPr="00AF7530">
        <w:rPr>
          <w:color w:val="000000" w:themeColor="text1"/>
        </w:rPr>
        <w:t>, что указыв</w:t>
      </w:r>
      <w:r>
        <w:rPr>
          <w:color w:val="000000" w:themeColor="text1"/>
        </w:rPr>
        <w:t>ает на значительную корреляцию.</w:t>
      </w:r>
    </w:p>
    <w:p w:rsidR="00392E41" w:rsidRPr="00AF7530" w:rsidRDefault="006031E7" w:rsidP="006031E7">
      <w:pPr>
        <w:rPr>
          <w:color w:val="000000" w:themeColor="text1"/>
        </w:rPr>
      </w:pPr>
      <w:r>
        <w:rPr>
          <w:color w:val="000000" w:themeColor="text1"/>
        </w:rPr>
        <w:t xml:space="preserve">При этом надо понимать, что </w:t>
      </w:r>
      <w:r w:rsidR="00392E41" w:rsidRPr="00AF7530">
        <w:rPr>
          <w:color w:val="000000" w:themeColor="text1"/>
        </w:rPr>
        <w:t xml:space="preserve">корреляция не </w:t>
      </w:r>
      <w:r>
        <w:rPr>
          <w:color w:val="000000" w:themeColor="text1"/>
        </w:rPr>
        <w:t>указывает на</w:t>
      </w:r>
      <w:r w:rsidR="00392E41" w:rsidRPr="00AF7530">
        <w:rPr>
          <w:color w:val="000000" w:themeColor="text1"/>
        </w:rPr>
        <w:t xml:space="preserve"> причинно-следственные связи. Например, на </w:t>
      </w:r>
      <w:proofErr w:type="gramStart"/>
      <w:r w:rsidR="00392E41" w:rsidRPr="00AF7530">
        <w:rPr>
          <w:color w:val="000000" w:themeColor="text1"/>
        </w:rPr>
        <w:t>основании</w:t>
      </w:r>
      <w:proofErr w:type="gramEnd"/>
      <w:r w:rsidR="00392E41" w:rsidRPr="00AF7530">
        <w:rPr>
          <w:color w:val="000000" w:themeColor="text1"/>
        </w:rPr>
        <w:t xml:space="preserve"> полученн</w:t>
      </w:r>
      <w:r>
        <w:rPr>
          <w:color w:val="000000" w:themeColor="text1"/>
        </w:rPr>
        <w:t>ого</w:t>
      </w:r>
      <w:r w:rsidR="00392E41" w:rsidRPr="00AF7530">
        <w:rPr>
          <w:color w:val="000000" w:themeColor="text1"/>
        </w:rPr>
        <w:t xml:space="preserve"> значени</w:t>
      </w:r>
      <w:r>
        <w:rPr>
          <w:color w:val="000000" w:themeColor="text1"/>
        </w:rPr>
        <w:t>я</w:t>
      </w:r>
      <w:r w:rsidR="00392E41" w:rsidRPr="00AF7530">
        <w:rPr>
          <w:color w:val="000000" w:themeColor="text1"/>
        </w:rPr>
        <w:t xml:space="preserve"> корреляции можно сказать, что:</w:t>
      </w:r>
    </w:p>
    <w:p w:rsidR="00392E41" w:rsidRPr="00AF7530" w:rsidRDefault="00392E41" w:rsidP="006031E7">
      <w:pPr>
        <w:pStyle w:val="a3"/>
        <w:numPr>
          <w:ilvl w:val="0"/>
          <w:numId w:val="1"/>
        </w:numPr>
        <w:rPr>
          <w:color w:val="000000" w:themeColor="text1"/>
        </w:rPr>
      </w:pPr>
      <w:r w:rsidRPr="00AF7530">
        <w:rPr>
          <w:color w:val="000000" w:themeColor="text1"/>
        </w:rPr>
        <w:t>Чем выше ЗП, тем сотрудники дольше работают в компании… или…</w:t>
      </w:r>
    </w:p>
    <w:p w:rsidR="00392E41" w:rsidRDefault="00392E41" w:rsidP="006031E7">
      <w:pPr>
        <w:pStyle w:val="a3"/>
        <w:numPr>
          <w:ilvl w:val="0"/>
          <w:numId w:val="1"/>
        </w:numPr>
        <w:ind w:left="714" w:hanging="357"/>
        <w:rPr>
          <w:color w:val="000000" w:themeColor="text1"/>
        </w:rPr>
      </w:pPr>
      <w:r w:rsidRPr="00AF7530">
        <w:rPr>
          <w:color w:val="000000" w:themeColor="text1"/>
        </w:rPr>
        <w:t>Чем сотрудники дольше работают в компании, тем у них выше ЗП</w:t>
      </w:r>
      <w:r w:rsidR="006031E7">
        <w:rPr>
          <w:color w:val="000000" w:themeColor="text1"/>
        </w:rPr>
        <w:t>… или…</w:t>
      </w:r>
    </w:p>
    <w:p w:rsidR="006031E7" w:rsidRPr="00AF7530" w:rsidRDefault="006031E7" w:rsidP="00421C8D">
      <w:pPr>
        <w:pStyle w:val="a3"/>
        <w:numPr>
          <w:ilvl w:val="0"/>
          <w:numId w:val="1"/>
        </w:numPr>
        <w:spacing w:after="120"/>
        <w:rPr>
          <w:color w:val="000000" w:themeColor="text1"/>
        </w:rPr>
      </w:pPr>
      <w:r>
        <w:rPr>
          <w:color w:val="000000" w:themeColor="text1"/>
        </w:rPr>
        <w:t xml:space="preserve">Существует какой-то третий фактор, который и является причиной того, что стаж и ЗП </w:t>
      </w:r>
      <w:proofErr w:type="gramStart"/>
      <w:r>
        <w:rPr>
          <w:color w:val="000000" w:themeColor="text1"/>
        </w:rPr>
        <w:t>связаны</w:t>
      </w:r>
      <w:proofErr w:type="gramEnd"/>
      <w:r>
        <w:rPr>
          <w:color w:val="000000" w:themeColor="text1"/>
        </w:rPr>
        <w:t>.</w:t>
      </w:r>
    </w:p>
    <w:p w:rsidR="006031E7" w:rsidRDefault="006031E7" w:rsidP="00421C8D">
      <w:pPr>
        <w:spacing w:after="120"/>
        <w:rPr>
          <w:color w:val="000000" w:themeColor="text1"/>
        </w:rPr>
      </w:pPr>
      <w:r w:rsidRPr="006031E7">
        <w:rPr>
          <w:color w:val="000000" w:themeColor="text1"/>
        </w:rPr>
        <w:t>Сам по себе факт корреляционной зависимости не даёт основания утверждать, какая из переменных предшествует или является причиной изменений, или что переменные вообще причинно связаны между собой, например, ввиду действия третьего фактора.</w:t>
      </w:r>
      <w:r w:rsidR="006D3F38">
        <w:rPr>
          <w:color w:val="000000" w:themeColor="text1"/>
        </w:rPr>
        <w:t xml:space="preserve"> Забавная история на эту тему. Мой сын, готовящийся к сдаче ЕГЭ, сообщил, что в 24-м вопросе по алгебре нужно выбирать 4-й вариант. Я удивленно спросил: «Почему?»</w:t>
      </w:r>
      <w:proofErr w:type="gramStart"/>
      <w:r w:rsidR="006D3F38">
        <w:rPr>
          <w:color w:val="000000" w:themeColor="text1"/>
        </w:rPr>
        <w:t xml:space="preserve">. </w:t>
      </w:r>
      <w:proofErr w:type="gramEnd"/>
      <w:r w:rsidR="006D3F38">
        <w:rPr>
          <w:color w:val="000000" w:themeColor="text1"/>
        </w:rPr>
        <w:t xml:space="preserve">«Потому что за последние пять лет правильный ответ на 24-й вопрос всегда был под №4», – ответил сын. </w:t>
      </w:r>
      <w:r w:rsidR="006D3F38" w:rsidRPr="006D3F38">
        <w:rPr>
          <w:color w:val="000000" w:themeColor="text1"/>
        </w:rPr>
        <w:sym w:font="Wingdings" w:char="F04A"/>
      </w:r>
    </w:p>
    <w:p w:rsidR="00392E41" w:rsidRPr="00AF7530" w:rsidRDefault="006031E7" w:rsidP="00421C8D">
      <w:pPr>
        <w:spacing w:after="120"/>
        <w:rPr>
          <w:color w:val="000000" w:themeColor="text1"/>
        </w:rPr>
      </w:pPr>
      <w:r w:rsidRPr="006031E7">
        <w:rPr>
          <w:color w:val="000000" w:themeColor="text1"/>
        </w:rPr>
        <w:t>Не являясь доказательст</w:t>
      </w:r>
      <w:r>
        <w:rPr>
          <w:color w:val="000000" w:themeColor="text1"/>
        </w:rPr>
        <w:t xml:space="preserve">вом причинно-следственной </w:t>
      </w:r>
      <w:r w:rsidRPr="006031E7">
        <w:rPr>
          <w:color w:val="000000" w:themeColor="text1"/>
        </w:rPr>
        <w:t>связи, корреляция</w:t>
      </w:r>
      <w:r>
        <w:rPr>
          <w:color w:val="000000" w:themeColor="text1"/>
        </w:rPr>
        <w:t>,</w:t>
      </w:r>
      <w:r w:rsidRPr="006031E7">
        <w:rPr>
          <w:color w:val="000000" w:themeColor="text1"/>
        </w:rPr>
        <w:t xml:space="preserve"> тем не менее</w:t>
      </w:r>
      <w:r>
        <w:rPr>
          <w:color w:val="000000" w:themeColor="text1"/>
        </w:rPr>
        <w:t>,</w:t>
      </w:r>
      <w:r w:rsidRPr="006031E7">
        <w:rPr>
          <w:color w:val="000000" w:themeColor="text1"/>
        </w:rPr>
        <w:t xml:space="preserve"> может служить инструментом для выдвижения гипотез о наличии такой связи. </w:t>
      </w:r>
      <w:r>
        <w:rPr>
          <w:color w:val="000000" w:themeColor="text1"/>
        </w:rPr>
        <w:t xml:space="preserve">Наличие корреляции </w:t>
      </w:r>
      <w:r w:rsidRPr="006031E7">
        <w:rPr>
          <w:color w:val="000000" w:themeColor="text1"/>
        </w:rPr>
        <w:t>заставля</w:t>
      </w:r>
      <w:r>
        <w:rPr>
          <w:color w:val="000000" w:themeColor="text1"/>
        </w:rPr>
        <w:t>ет</w:t>
      </w:r>
      <w:r w:rsidRPr="006031E7">
        <w:rPr>
          <w:color w:val="000000" w:themeColor="text1"/>
        </w:rPr>
        <w:t xml:space="preserve"> искать «общую причину» хорошо</w:t>
      </w:r>
      <w:r>
        <w:rPr>
          <w:color w:val="000000" w:themeColor="text1"/>
        </w:rPr>
        <w:t xml:space="preserve"> коррелированных явлений, или неизвестный третий (четвертый, пятый…) фактор.</w:t>
      </w:r>
      <w:r w:rsidR="00392E41" w:rsidRPr="00AF7530">
        <w:rPr>
          <w:color w:val="000000" w:themeColor="text1"/>
        </w:rPr>
        <w:t xml:space="preserve"> </w:t>
      </w:r>
      <w:r w:rsidR="00DD4B9B">
        <w:rPr>
          <w:color w:val="000000" w:themeColor="text1"/>
        </w:rPr>
        <w:t>И, наоборот, отсутствие корреляции, скорее, указывает и на отсутствие причинно-следственных связей.</w:t>
      </w:r>
    </w:p>
    <w:p w:rsidR="00392E41" w:rsidRDefault="00FD237F" w:rsidP="00421C8D">
      <w:pPr>
        <w:spacing w:after="120"/>
        <w:rPr>
          <w:color w:val="000000" w:themeColor="text1"/>
        </w:rPr>
      </w:pPr>
      <w:r>
        <w:rPr>
          <w:color w:val="000000" w:themeColor="text1"/>
        </w:rPr>
        <w:lastRenderedPageBreak/>
        <w:t>Вот еще один пример корреляционной зависимости</w:t>
      </w:r>
      <w:r w:rsidR="00231545">
        <w:rPr>
          <w:color w:val="000000" w:themeColor="text1"/>
        </w:rPr>
        <w:t xml:space="preserve"> между бюджетом клуба Континентальной хоккейной лиги и местом, занятым этим клубом в регулярном чемпионате.</w:t>
      </w:r>
    </w:p>
    <w:p w:rsidR="00FD237F" w:rsidRDefault="00FD237F" w:rsidP="00421C8D">
      <w:pPr>
        <w:spacing w:after="120"/>
        <w:rPr>
          <w:color w:val="000000" w:themeColor="text1"/>
        </w:rPr>
      </w:pPr>
      <w:r w:rsidRPr="00FD237F">
        <w:rPr>
          <w:noProof/>
          <w:color w:val="000000" w:themeColor="text1"/>
        </w:rPr>
        <w:drawing>
          <wp:inline distT="0" distB="0" distL="0" distR="0">
            <wp:extent cx="4519779" cy="3087398"/>
            <wp:effectExtent l="19050" t="0" r="14121"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49D6" w:rsidRDefault="00231E73" w:rsidP="00421C8D">
      <w:pPr>
        <w:spacing w:after="120"/>
        <w:rPr>
          <w:color w:val="000000" w:themeColor="text1"/>
        </w:rPr>
      </w:pPr>
      <w:r>
        <w:rPr>
          <w:color w:val="000000" w:themeColor="text1"/>
        </w:rPr>
        <w:t>Коэффициент корреляции –0,63 (о</w:t>
      </w:r>
      <w:r w:rsidR="00FD237F">
        <w:rPr>
          <w:color w:val="000000" w:themeColor="text1"/>
        </w:rPr>
        <w:t>трицательный, поскольку, зависимость обратная: чем больше бюджет, тем меньше номер места</w:t>
      </w:r>
      <w:r>
        <w:rPr>
          <w:color w:val="000000" w:themeColor="text1"/>
        </w:rPr>
        <w:t>)</w:t>
      </w:r>
      <w:r w:rsidR="00FD237F">
        <w:rPr>
          <w:color w:val="000000" w:themeColor="text1"/>
        </w:rPr>
        <w:t>.</w:t>
      </w:r>
    </w:p>
    <w:p w:rsidR="002A09E3" w:rsidRDefault="00DA49D6" w:rsidP="002A09E3">
      <w:pPr>
        <w:rPr>
          <w:color w:val="000000" w:themeColor="text1"/>
        </w:rPr>
      </w:pPr>
      <w:r>
        <w:rPr>
          <w:color w:val="000000" w:themeColor="text1"/>
        </w:rPr>
        <w:t xml:space="preserve">Следующий пример из области логистики. </w:t>
      </w:r>
      <w:r w:rsidR="002A09E3">
        <w:rPr>
          <w:color w:val="000000" w:themeColor="text1"/>
        </w:rPr>
        <w:t>Современные склады разбивают на зоны (</w:t>
      </w:r>
      <w:r w:rsidR="002A09E3" w:rsidRPr="002A09E3">
        <w:rPr>
          <w:color w:val="000000" w:themeColor="text1"/>
        </w:rPr>
        <w:t>участки</w:t>
      </w:r>
      <w:r w:rsidR="002A09E3">
        <w:rPr>
          <w:color w:val="000000" w:themeColor="text1"/>
        </w:rPr>
        <w:t>):</w:t>
      </w:r>
    </w:p>
    <w:p w:rsidR="00FD237F" w:rsidRDefault="002A09E3" w:rsidP="002A09E3">
      <w:pPr>
        <w:pStyle w:val="a3"/>
        <w:numPr>
          <w:ilvl w:val="0"/>
          <w:numId w:val="3"/>
        </w:numPr>
        <w:ind w:left="714" w:hanging="357"/>
        <w:rPr>
          <w:color w:val="000000" w:themeColor="text1"/>
        </w:rPr>
      </w:pPr>
      <w:r w:rsidRPr="002A09E3">
        <w:rPr>
          <w:color w:val="000000" w:themeColor="text1"/>
        </w:rPr>
        <w:t xml:space="preserve">например, на основе </w:t>
      </w:r>
      <w:hyperlink r:id="rId12" w:anchor="more-310" w:history="1">
        <w:r w:rsidRPr="002A09E3">
          <w:rPr>
            <w:rStyle w:val="a6"/>
          </w:rPr>
          <w:t>АВС-анализа</w:t>
        </w:r>
      </w:hyperlink>
      <w:r w:rsidRPr="002A09E3">
        <w:rPr>
          <w:color w:val="000000" w:themeColor="text1"/>
        </w:rPr>
        <w:t xml:space="preserve">: чем выше оборачиваемость товаров, тем ближе </w:t>
      </w:r>
      <w:r>
        <w:rPr>
          <w:color w:val="000000" w:themeColor="text1"/>
        </w:rPr>
        <w:t>к</w:t>
      </w:r>
      <w:r w:rsidRPr="002A09E3">
        <w:rPr>
          <w:color w:val="000000" w:themeColor="text1"/>
        </w:rPr>
        <w:t xml:space="preserve"> зон</w:t>
      </w:r>
      <w:r>
        <w:rPr>
          <w:color w:val="000000" w:themeColor="text1"/>
        </w:rPr>
        <w:t>ам</w:t>
      </w:r>
      <w:r w:rsidRPr="002A09E3">
        <w:rPr>
          <w:color w:val="000000" w:themeColor="text1"/>
        </w:rPr>
        <w:t xml:space="preserve"> приемки </w:t>
      </w:r>
      <w:r>
        <w:rPr>
          <w:color w:val="000000" w:themeColor="text1"/>
        </w:rPr>
        <w:t>и</w:t>
      </w:r>
      <w:r w:rsidRPr="002A09E3">
        <w:rPr>
          <w:color w:val="000000" w:themeColor="text1"/>
        </w:rPr>
        <w:t xml:space="preserve"> отгрузки они размещаются</w:t>
      </w:r>
      <w:r>
        <w:rPr>
          <w:color w:val="000000" w:themeColor="text1"/>
        </w:rPr>
        <w:t>, или…</w:t>
      </w:r>
    </w:p>
    <w:p w:rsidR="002A09E3" w:rsidRDefault="002A09E3" w:rsidP="002A09E3">
      <w:pPr>
        <w:pStyle w:val="a3"/>
        <w:numPr>
          <w:ilvl w:val="0"/>
          <w:numId w:val="3"/>
        </w:numPr>
        <w:spacing w:after="120"/>
        <w:rPr>
          <w:color w:val="000000" w:themeColor="text1"/>
        </w:rPr>
      </w:pPr>
      <w:r>
        <w:rPr>
          <w:color w:val="000000" w:themeColor="text1"/>
        </w:rPr>
        <w:t>на основе типов товаров (отдельно консервы, стройматериалы, автозапчасти</w:t>
      </w:r>
      <w:r w:rsidR="00DB448A">
        <w:rPr>
          <w:color w:val="000000" w:themeColor="text1"/>
        </w:rPr>
        <w:t>…)</w:t>
      </w:r>
    </w:p>
    <w:p w:rsidR="002A09E3" w:rsidRDefault="002A09E3" w:rsidP="002A09E3">
      <w:pPr>
        <w:spacing w:after="120"/>
        <w:rPr>
          <w:color w:val="000000" w:themeColor="text1"/>
        </w:rPr>
      </w:pPr>
      <w:r>
        <w:rPr>
          <w:color w:val="000000" w:themeColor="text1"/>
        </w:rPr>
        <w:t xml:space="preserve">Что делать, </w:t>
      </w:r>
      <w:r w:rsidR="00DB448A">
        <w:rPr>
          <w:color w:val="000000" w:themeColor="text1"/>
        </w:rPr>
        <w:t xml:space="preserve">если пришел товар, который нельзя разместить в «родной» зоне? Каждый решает эту проблему по-разному. Один из вариантов – положить в «чужую» зону. Со временем товар начинает «расползаться» по складу. Корреляционный анализ позволяет оценить качество стратегий размещения. Если участок </w:t>
      </w:r>
      <w:r w:rsidR="00DB448A" w:rsidRPr="008A4672">
        <w:rPr>
          <w:b/>
          <w:color w:val="000000" w:themeColor="text1"/>
        </w:rPr>
        <w:t>товара</w:t>
      </w:r>
      <w:r w:rsidR="00DB448A">
        <w:rPr>
          <w:color w:val="000000" w:themeColor="text1"/>
        </w:rPr>
        <w:t xml:space="preserve"> (участок, куда товар должен был разместиться) коррелирует с участком </w:t>
      </w:r>
      <w:r w:rsidR="00DB448A" w:rsidRPr="008A4672">
        <w:rPr>
          <w:b/>
          <w:color w:val="000000" w:themeColor="text1"/>
        </w:rPr>
        <w:t>ячейки</w:t>
      </w:r>
      <w:r w:rsidR="00DB448A">
        <w:rPr>
          <w:color w:val="000000" w:themeColor="text1"/>
        </w:rPr>
        <w:t xml:space="preserve"> (участок, определенный в системе данному складскому месту), значит стратегии</w:t>
      </w:r>
      <w:r w:rsidR="00806BA9">
        <w:rPr>
          <w:color w:val="000000" w:themeColor="text1"/>
        </w:rPr>
        <w:t xml:space="preserve"> размещения и само разбиение на участки сделаны корректно.</w:t>
      </w:r>
      <w:r w:rsidR="00231E73">
        <w:rPr>
          <w:color w:val="000000" w:themeColor="text1"/>
        </w:rPr>
        <w:t xml:space="preserve"> Первоначально мы разбили весь номенклатурный ряд на 49 </w:t>
      </w:r>
      <w:r w:rsidR="008A4672">
        <w:rPr>
          <w:color w:val="000000" w:themeColor="text1"/>
        </w:rPr>
        <w:t>групп (</w:t>
      </w:r>
      <w:r w:rsidR="00231E73">
        <w:rPr>
          <w:color w:val="000000" w:themeColor="text1"/>
        </w:rPr>
        <w:t>участков</w:t>
      </w:r>
      <w:r w:rsidR="008A4672">
        <w:rPr>
          <w:color w:val="000000" w:themeColor="text1"/>
        </w:rPr>
        <w:t>)</w:t>
      </w:r>
      <w:r w:rsidR="00231E73">
        <w:rPr>
          <w:color w:val="000000" w:themeColor="text1"/>
        </w:rPr>
        <w:t>, и вот какую картину получили</w:t>
      </w:r>
      <w:r w:rsidR="008A4672">
        <w:rPr>
          <w:color w:val="000000" w:themeColor="text1"/>
        </w:rPr>
        <w:t xml:space="preserve"> спустя несколько месяцев</w:t>
      </w:r>
      <w:r w:rsidR="00F75D84">
        <w:rPr>
          <w:color w:val="000000" w:themeColor="text1"/>
        </w:rPr>
        <w:t xml:space="preserve"> (см. лист «склад</w:t>
      </w:r>
      <w:proofErr w:type="gramStart"/>
      <w:r w:rsidR="00F75D84">
        <w:rPr>
          <w:color w:val="000000" w:themeColor="text1"/>
        </w:rPr>
        <w:t>1</w:t>
      </w:r>
      <w:proofErr w:type="gramEnd"/>
      <w:r w:rsidR="00F75D84">
        <w:rPr>
          <w:color w:val="000000" w:themeColor="text1"/>
        </w:rPr>
        <w:t xml:space="preserve">» </w:t>
      </w:r>
      <w:r w:rsidR="00F75D84">
        <w:rPr>
          <w:color w:val="000000" w:themeColor="text1"/>
          <w:lang w:val="en-US"/>
        </w:rPr>
        <w:t>Excel</w:t>
      </w:r>
      <w:r w:rsidR="00F75D84" w:rsidRPr="00F75D84">
        <w:rPr>
          <w:color w:val="000000" w:themeColor="text1"/>
        </w:rPr>
        <w:t>-</w:t>
      </w:r>
      <w:r w:rsidR="00F75D84">
        <w:rPr>
          <w:color w:val="000000" w:themeColor="text1"/>
        </w:rPr>
        <w:t>файла)</w:t>
      </w:r>
      <w:r w:rsidR="00231E73">
        <w:rPr>
          <w:color w:val="000000" w:themeColor="text1"/>
        </w:rPr>
        <w:t>:</w:t>
      </w:r>
    </w:p>
    <w:p w:rsidR="006F5281" w:rsidRDefault="006F5281" w:rsidP="002A09E3">
      <w:pPr>
        <w:spacing w:after="120"/>
        <w:rPr>
          <w:color w:val="000000" w:themeColor="text1"/>
        </w:rPr>
      </w:pPr>
      <w:r w:rsidRPr="006F5281">
        <w:lastRenderedPageBreak/>
        <w:drawing>
          <wp:inline distT="0" distB="0" distL="0" distR="0">
            <wp:extent cx="6261558" cy="4116098"/>
            <wp:effectExtent l="19050" t="0" r="589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260386" cy="4115328"/>
                    </a:xfrm>
                    <a:prstGeom prst="rect">
                      <a:avLst/>
                    </a:prstGeom>
                    <a:noFill/>
                    <a:ln w="9525">
                      <a:noFill/>
                      <a:miter lim="800000"/>
                      <a:headEnd/>
                      <a:tailEnd/>
                    </a:ln>
                  </pic:spPr>
                </pic:pic>
              </a:graphicData>
            </a:graphic>
          </wp:inline>
        </w:drawing>
      </w:r>
    </w:p>
    <w:p w:rsidR="008A4672" w:rsidRDefault="008A4672" w:rsidP="002A09E3">
      <w:pPr>
        <w:spacing w:after="120"/>
        <w:rPr>
          <w:color w:val="000000" w:themeColor="text1"/>
        </w:rPr>
      </w:pPr>
      <w:r>
        <w:rPr>
          <w:color w:val="000000" w:themeColor="text1"/>
        </w:rPr>
        <w:t xml:space="preserve">По вертикали слева указаны номера участков </w:t>
      </w:r>
      <w:r w:rsidRPr="008A4672">
        <w:rPr>
          <w:b/>
          <w:color w:val="000000" w:themeColor="text1"/>
        </w:rPr>
        <w:t>ячеек</w:t>
      </w:r>
      <w:r>
        <w:rPr>
          <w:color w:val="000000" w:themeColor="text1"/>
        </w:rPr>
        <w:t xml:space="preserve">; по горизонтали вверху – номера участков </w:t>
      </w:r>
      <w:r w:rsidRPr="008A4672">
        <w:rPr>
          <w:b/>
          <w:color w:val="000000" w:themeColor="text1"/>
        </w:rPr>
        <w:t>товаров</w:t>
      </w:r>
      <w:r>
        <w:rPr>
          <w:color w:val="000000" w:themeColor="text1"/>
        </w:rPr>
        <w:t>;  желтым цветом выделены ячейки, для которых эти номера совпадают, то есть товар лёг в «свою» ячейку. Получилось, что только 18% коробок лежит на «родных»</w:t>
      </w:r>
      <w:r w:rsidR="00C039C2">
        <w:rPr>
          <w:color w:val="000000" w:themeColor="text1"/>
        </w:rPr>
        <w:t xml:space="preserve"> местах. Вариабельность </w:t>
      </w:r>
      <w:r>
        <w:rPr>
          <w:color w:val="000000" w:themeColor="text1"/>
        </w:rPr>
        <w:t>о</w:t>
      </w:r>
      <w:r w:rsidR="00C039C2">
        <w:rPr>
          <w:color w:val="000000" w:themeColor="text1"/>
        </w:rPr>
        <w:t>бъема хранения</w:t>
      </w:r>
      <w:r>
        <w:rPr>
          <w:color w:val="000000" w:themeColor="text1"/>
        </w:rPr>
        <w:t xml:space="preserve"> отдельны</w:t>
      </w:r>
      <w:r w:rsidR="00C039C2">
        <w:rPr>
          <w:color w:val="000000" w:themeColor="text1"/>
        </w:rPr>
        <w:t>х</w:t>
      </w:r>
      <w:r>
        <w:rPr>
          <w:color w:val="000000" w:themeColor="text1"/>
        </w:rPr>
        <w:t xml:space="preserve"> категори</w:t>
      </w:r>
      <w:r w:rsidR="00C039C2">
        <w:rPr>
          <w:color w:val="000000" w:themeColor="text1"/>
        </w:rPr>
        <w:t>й</w:t>
      </w:r>
      <w:r>
        <w:rPr>
          <w:color w:val="000000" w:themeColor="text1"/>
        </w:rPr>
        <w:t xml:space="preserve"> товар</w:t>
      </w:r>
      <w:r w:rsidR="00C039C2">
        <w:rPr>
          <w:color w:val="000000" w:themeColor="text1"/>
        </w:rPr>
        <w:t>а</w:t>
      </w:r>
      <w:r>
        <w:rPr>
          <w:color w:val="000000" w:themeColor="text1"/>
        </w:rPr>
        <w:t xml:space="preserve"> </w:t>
      </w:r>
      <w:r w:rsidR="00C039C2">
        <w:rPr>
          <w:color w:val="000000" w:themeColor="text1"/>
        </w:rPr>
        <w:t>столь высока</w:t>
      </w:r>
      <w:r>
        <w:rPr>
          <w:color w:val="000000" w:themeColor="text1"/>
        </w:rPr>
        <w:t xml:space="preserve">, что фиксированное разбиение склада </w:t>
      </w:r>
      <w:r w:rsidR="00C039C2">
        <w:rPr>
          <w:color w:val="000000" w:themeColor="text1"/>
        </w:rPr>
        <w:t>на зоны не позволяет в течение длительного времени поддерживать выбранную стратегию размещения. Зачем иметь столько категорий товар</w:t>
      </w:r>
      <w:r w:rsidR="00202B09">
        <w:rPr>
          <w:color w:val="000000" w:themeColor="text1"/>
        </w:rPr>
        <w:t>а</w:t>
      </w:r>
      <w:r w:rsidR="00C039C2">
        <w:rPr>
          <w:color w:val="000000" w:themeColor="text1"/>
        </w:rPr>
        <w:t>, если не удается размещать его «правильно»? Мы сократили число зон до 12, и спустя некоторое время получили совершенно иную ситуацию</w:t>
      </w:r>
      <w:r w:rsidR="00F75D84">
        <w:rPr>
          <w:color w:val="000000" w:themeColor="text1"/>
        </w:rPr>
        <w:t xml:space="preserve"> (см. лист «склад</w:t>
      </w:r>
      <w:proofErr w:type="gramStart"/>
      <w:r w:rsidR="00F75D84">
        <w:rPr>
          <w:color w:val="000000" w:themeColor="text1"/>
        </w:rPr>
        <w:t>2</w:t>
      </w:r>
      <w:proofErr w:type="gramEnd"/>
      <w:r w:rsidR="00F75D84">
        <w:rPr>
          <w:color w:val="000000" w:themeColor="text1"/>
        </w:rPr>
        <w:t xml:space="preserve">» </w:t>
      </w:r>
      <w:r w:rsidR="00F75D84">
        <w:rPr>
          <w:color w:val="000000" w:themeColor="text1"/>
          <w:lang w:val="en-US"/>
        </w:rPr>
        <w:t>Excel</w:t>
      </w:r>
      <w:r w:rsidR="00F75D84" w:rsidRPr="00F75D84">
        <w:rPr>
          <w:color w:val="000000" w:themeColor="text1"/>
        </w:rPr>
        <w:t>-</w:t>
      </w:r>
      <w:r w:rsidR="00F75D84">
        <w:rPr>
          <w:color w:val="000000" w:themeColor="text1"/>
        </w:rPr>
        <w:t>файла):</w:t>
      </w:r>
    </w:p>
    <w:p w:rsidR="006D3F38" w:rsidRDefault="006D3F38" w:rsidP="002A09E3">
      <w:pPr>
        <w:spacing w:after="120"/>
        <w:rPr>
          <w:color w:val="000000" w:themeColor="text1"/>
        </w:rPr>
      </w:pPr>
      <w:r w:rsidRPr="006D3F38">
        <w:drawing>
          <wp:inline distT="0" distB="0" distL="0" distR="0">
            <wp:extent cx="4590728" cy="2283028"/>
            <wp:effectExtent l="19050" t="0" r="322"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590506" cy="2282918"/>
                    </a:xfrm>
                    <a:prstGeom prst="rect">
                      <a:avLst/>
                    </a:prstGeom>
                    <a:noFill/>
                    <a:ln w="9525">
                      <a:noFill/>
                      <a:miter lim="800000"/>
                      <a:headEnd/>
                      <a:tailEnd/>
                    </a:ln>
                  </pic:spPr>
                </pic:pic>
              </a:graphicData>
            </a:graphic>
          </wp:inline>
        </w:drawing>
      </w:r>
    </w:p>
    <w:p w:rsidR="006D3F38" w:rsidRDefault="006D3F38" w:rsidP="002A09E3">
      <w:pPr>
        <w:spacing w:after="120"/>
        <w:rPr>
          <w:color w:val="000000" w:themeColor="text1"/>
        </w:rPr>
      </w:pPr>
      <w:r>
        <w:rPr>
          <w:color w:val="000000" w:themeColor="text1"/>
        </w:rPr>
        <w:t>На своих местах теперь располагалось 63,5% коробок.</w:t>
      </w:r>
    </w:p>
    <w:p w:rsidR="00F75D84" w:rsidRPr="002A09E3" w:rsidRDefault="00F75D84" w:rsidP="002A09E3">
      <w:pPr>
        <w:spacing w:after="120"/>
        <w:rPr>
          <w:color w:val="000000" w:themeColor="text1"/>
        </w:rPr>
      </w:pPr>
      <w:r w:rsidRPr="00F75D84">
        <w:rPr>
          <w:b/>
          <w:color w:val="000000" w:themeColor="text1"/>
        </w:rPr>
        <w:t>Вывод.</w:t>
      </w:r>
      <w:r>
        <w:rPr>
          <w:color w:val="000000" w:themeColor="text1"/>
        </w:rPr>
        <w:t xml:space="preserve"> </w:t>
      </w:r>
      <w:proofErr w:type="gramStart"/>
      <w:r>
        <w:rPr>
          <w:color w:val="000000" w:themeColor="text1"/>
        </w:rPr>
        <w:t xml:space="preserve">Корреляционный анализ является весьма полезным в современной </w:t>
      </w:r>
      <w:proofErr w:type="spellStart"/>
      <w:r>
        <w:rPr>
          <w:color w:val="000000" w:themeColor="text1"/>
        </w:rPr>
        <w:t>бизнес-практике</w:t>
      </w:r>
      <w:proofErr w:type="spellEnd"/>
      <w:r>
        <w:rPr>
          <w:color w:val="000000" w:themeColor="text1"/>
        </w:rPr>
        <w:t>; он позволяет «добыть пищу» для дальнейшего изучения, и принятия качественных продуманных управленческих решений.</w:t>
      </w:r>
      <w:proofErr w:type="gramEnd"/>
      <w:r>
        <w:rPr>
          <w:color w:val="000000" w:themeColor="text1"/>
        </w:rPr>
        <w:t xml:space="preserve"> Однако не следует</w:t>
      </w:r>
      <w:r w:rsidR="00745D5B">
        <w:rPr>
          <w:color w:val="000000" w:themeColor="text1"/>
        </w:rPr>
        <w:t>,</w:t>
      </w:r>
      <w:r>
        <w:rPr>
          <w:color w:val="000000" w:themeColor="text1"/>
        </w:rPr>
        <w:t xml:space="preserve"> в случае наличия корреляции</w:t>
      </w:r>
      <w:r w:rsidR="00745D5B">
        <w:rPr>
          <w:color w:val="000000" w:themeColor="text1"/>
        </w:rPr>
        <w:t>,</w:t>
      </w:r>
      <w:r>
        <w:rPr>
          <w:color w:val="000000" w:themeColor="text1"/>
        </w:rPr>
        <w:t xml:space="preserve"> автоматически считать причинно-следственные</w:t>
      </w:r>
      <w:r w:rsidR="00745D5B">
        <w:rPr>
          <w:color w:val="000000" w:themeColor="text1"/>
        </w:rPr>
        <w:t xml:space="preserve"> </w:t>
      </w:r>
      <w:r>
        <w:rPr>
          <w:color w:val="000000" w:themeColor="text1"/>
        </w:rPr>
        <w:t>связи</w:t>
      </w:r>
      <w:r w:rsidR="00745D5B">
        <w:rPr>
          <w:color w:val="000000" w:themeColor="text1"/>
        </w:rPr>
        <w:t xml:space="preserve"> установленными.</w:t>
      </w:r>
    </w:p>
    <w:sectPr w:rsidR="00F75D84" w:rsidRPr="002A09E3" w:rsidSect="00AF753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5E5" w:rsidRDefault="000045E5" w:rsidP="006031E7">
      <w:r>
        <w:separator/>
      </w:r>
    </w:p>
  </w:endnote>
  <w:endnote w:type="continuationSeparator" w:id="0">
    <w:p w:rsidR="000045E5" w:rsidRDefault="000045E5" w:rsidP="006031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5E5" w:rsidRDefault="000045E5" w:rsidP="006031E7">
      <w:r>
        <w:separator/>
      </w:r>
    </w:p>
  </w:footnote>
  <w:footnote w:type="continuationSeparator" w:id="0">
    <w:p w:rsidR="000045E5" w:rsidRDefault="000045E5" w:rsidP="006031E7">
      <w:r>
        <w:continuationSeparator/>
      </w:r>
    </w:p>
  </w:footnote>
  <w:footnote w:id="1">
    <w:p w:rsidR="00DB448A" w:rsidRDefault="00DB448A">
      <w:pPr>
        <w:pStyle w:val="a8"/>
      </w:pPr>
      <w:r>
        <w:rPr>
          <w:rStyle w:val="aa"/>
        </w:rPr>
        <w:footnoteRef/>
      </w:r>
      <w:r>
        <w:t xml:space="preserve"> Диапазоны не соответствуют истинным цифрам, поскольку это, всё же, коммерческая тайна </w:t>
      </w:r>
      <w:r>
        <w:sym w:font="Wingdings" w:char="F04A"/>
      </w:r>
      <w:r>
        <w:t>, но всё остальное – реальный пример.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D9C"/>
    <w:multiLevelType w:val="hybridMultilevel"/>
    <w:tmpl w:val="31F28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820B2C"/>
    <w:multiLevelType w:val="hybridMultilevel"/>
    <w:tmpl w:val="891C5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2E41"/>
    <w:rsid w:val="000045E5"/>
    <w:rsid w:val="000A0FEF"/>
    <w:rsid w:val="000B76B9"/>
    <w:rsid w:val="000D6FA8"/>
    <w:rsid w:val="00112CCA"/>
    <w:rsid w:val="001258E5"/>
    <w:rsid w:val="001C1E69"/>
    <w:rsid w:val="001D7DF5"/>
    <w:rsid w:val="00202B09"/>
    <w:rsid w:val="00213EBB"/>
    <w:rsid w:val="00231545"/>
    <w:rsid w:val="00231E73"/>
    <w:rsid w:val="002A09E3"/>
    <w:rsid w:val="002F3C0B"/>
    <w:rsid w:val="00392E41"/>
    <w:rsid w:val="003A543B"/>
    <w:rsid w:val="003A7EBF"/>
    <w:rsid w:val="00421C8D"/>
    <w:rsid w:val="00485633"/>
    <w:rsid w:val="004D4CAF"/>
    <w:rsid w:val="00522735"/>
    <w:rsid w:val="006031E7"/>
    <w:rsid w:val="0060782F"/>
    <w:rsid w:val="00611901"/>
    <w:rsid w:val="006368E2"/>
    <w:rsid w:val="0068052B"/>
    <w:rsid w:val="00686484"/>
    <w:rsid w:val="006A6DE4"/>
    <w:rsid w:val="006C4D70"/>
    <w:rsid w:val="006D3F38"/>
    <w:rsid w:val="006F5281"/>
    <w:rsid w:val="0070757D"/>
    <w:rsid w:val="00722658"/>
    <w:rsid w:val="00727EC3"/>
    <w:rsid w:val="00745D5B"/>
    <w:rsid w:val="0077123F"/>
    <w:rsid w:val="00806BA9"/>
    <w:rsid w:val="008347CF"/>
    <w:rsid w:val="008A4672"/>
    <w:rsid w:val="008F1B2D"/>
    <w:rsid w:val="009C23B2"/>
    <w:rsid w:val="009D137A"/>
    <w:rsid w:val="009D7E3C"/>
    <w:rsid w:val="009E66C6"/>
    <w:rsid w:val="00A16F9A"/>
    <w:rsid w:val="00AF7530"/>
    <w:rsid w:val="00B651C7"/>
    <w:rsid w:val="00B702E1"/>
    <w:rsid w:val="00B80843"/>
    <w:rsid w:val="00BA2E07"/>
    <w:rsid w:val="00BA4593"/>
    <w:rsid w:val="00BE7470"/>
    <w:rsid w:val="00C039C2"/>
    <w:rsid w:val="00CA6D39"/>
    <w:rsid w:val="00CB37DF"/>
    <w:rsid w:val="00DA49D6"/>
    <w:rsid w:val="00DB448A"/>
    <w:rsid w:val="00DD4B9B"/>
    <w:rsid w:val="00DF4AD7"/>
    <w:rsid w:val="00E01EB1"/>
    <w:rsid w:val="00E20B41"/>
    <w:rsid w:val="00E6433C"/>
    <w:rsid w:val="00E96A23"/>
    <w:rsid w:val="00F11C40"/>
    <w:rsid w:val="00F55441"/>
    <w:rsid w:val="00F75D84"/>
    <w:rsid w:val="00FD237F"/>
    <w:rsid w:val="00FF4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41"/>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E41"/>
    <w:pPr>
      <w:ind w:left="720"/>
    </w:pPr>
  </w:style>
  <w:style w:type="paragraph" w:styleId="a4">
    <w:name w:val="Balloon Text"/>
    <w:basedOn w:val="a"/>
    <w:link w:val="a5"/>
    <w:uiPriority w:val="99"/>
    <w:semiHidden/>
    <w:unhideWhenUsed/>
    <w:rsid w:val="00392E41"/>
    <w:rPr>
      <w:rFonts w:ascii="Tahoma" w:hAnsi="Tahoma" w:cs="Tahoma"/>
      <w:sz w:val="16"/>
      <w:szCs w:val="16"/>
    </w:rPr>
  </w:style>
  <w:style w:type="character" w:customStyle="1" w:styleId="a5">
    <w:name w:val="Текст выноски Знак"/>
    <w:basedOn w:val="a0"/>
    <w:link w:val="a4"/>
    <w:uiPriority w:val="99"/>
    <w:semiHidden/>
    <w:rsid w:val="00392E41"/>
    <w:rPr>
      <w:rFonts w:ascii="Tahoma" w:hAnsi="Tahoma" w:cs="Tahoma"/>
      <w:sz w:val="16"/>
      <w:szCs w:val="16"/>
      <w:lang w:eastAsia="ru-RU"/>
    </w:rPr>
  </w:style>
  <w:style w:type="character" w:styleId="a6">
    <w:name w:val="Hyperlink"/>
    <w:basedOn w:val="a0"/>
    <w:uiPriority w:val="99"/>
    <w:unhideWhenUsed/>
    <w:rsid w:val="00AF7530"/>
    <w:rPr>
      <w:color w:val="0000FF"/>
      <w:u w:val="single"/>
    </w:rPr>
  </w:style>
  <w:style w:type="paragraph" w:styleId="a7">
    <w:name w:val="Normal (Web)"/>
    <w:basedOn w:val="a"/>
    <w:uiPriority w:val="99"/>
    <w:semiHidden/>
    <w:unhideWhenUsed/>
    <w:rsid w:val="00AF7530"/>
    <w:pPr>
      <w:spacing w:before="100" w:beforeAutospacing="1" w:after="100" w:afterAutospacing="1"/>
    </w:pPr>
    <w:rPr>
      <w:rFonts w:ascii="Times New Roman" w:eastAsia="Times New Roman" w:hAnsi="Times New Roman"/>
      <w:sz w:val="24"/>
      <w:szCs w:val="24"/>
    </w:rPr>
  </w:style>
  <w:style w:type="paragraph" w:styleId="a8">
    <w:name w:val="footnote text"/>
    <w:basedOn w:val="a"/>
    <w:link w:val="a9"/>
    <w:uiPriority w:val="99"/>
    <w:semiHidden/>
    <w:unhideWhenUsed/>
    <w:rsid w:val="006031E7"/>
    <w:rPr>
      <w:sz w:val="20"/>
      <w:szCs w:val="20"/>
    </w:rPr>
  </w:style>
  <w:style w:type="character" w:customStyle="1" w:styleId="a9">
    <w:name w:val="Текст сноски Знак"/>
    <w:basedOn w:val="a0"/>
    <w:link w:val="a8"/>
    <w:uiPriority w:val="99"/>
    <w:semiHidden/>
    <w:rsid w:val="006031E7"/>
    <w:rPr>
      <w:rFonts w:ascii="Calibri" w:hAnsi="Calibri" w:cs="Times New Roman"/>
      <w:sz w:val="20"/>
      <w:szCs w:val="20"/>
      <w:lang w:eastAsia="ru-RU"/>
    </w:rPr>
  </w:style>
  <w:style w:type="character" w:styleId="aa">
    <w:name w:val="footnote reference"/>
    <w:basedOn w:val="a0"/>
    <w:uiPriority w:val="99"/>
    <w:semiHidden/>
    <w:unhideWhenUsed/>
    <w:rsid w:val="006031E7"/>
    <w:rPr>
      <w:vertAlign w:val="superscript"/>
    </w:rPr>
  </w:style>
  <w:style w:type="character" w:styleId="ab">
    <w:name w:val="FollowedHyperlink"/>
    <w:basedOn w:val="a0"/>
    <w:uiPriority w:val="99"/>
    <w:semiHidden/>
    <w:unhideWhenUsed/>
    <w:rsid w:val="006A6D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783565">
      <w:bodyDiv w:val="1"/>
      <w:marLeft w:val="0"/>
      <w:marRight w:val="0"/>
      <w:marTop w:val="0"/>
      <w:marBottom w:val="0"/>
      <w:divBdr>
        <w:top w:val="none" w:sz="0" w:space="0" w:color="auto"/>
        <w:left w:val="none" w:sz="0" w:space="0" w:color="auto"/>
        <w:bottom w:val="none" w:sz="0" w:space="0" w:color="auto"/>
        <w:right w:val="none" w:sz="0" w:space="0" w:color="auto"/>
      </w:divBdr>
      <w:divsChild>
        <w:div w:id="463541466">
          <w:marLeft w:val="0"/>
          <w:marRight w:val="0"/>
          <w:marTop w:val="0"/>
          <w:marBottom w:val="0"/>
          <w:divBdr>
            <w:top w:val="none" w:sz="0" w:space="0" w:color="auto"/>
            <w:left w:val="none" w:sz="0" w:space="0" w:color="auto"/>
            <w:bottom w:val="none" w:sz="0" w:space="0" w:color="auto"/>
            <w:right w:val="none" w:sz="0" w:space="0" w:color="auto"/>
          </w:divBdr>
          <w:divsChild>
            <w:div w:id="16409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E%D1%80%D1%80%D0%B5%D0%BB%D1%8F%D1%86%D0%B8%D1%8F"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3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1050;&#1086;&#1088;&#1088;&#1077;&#1083;&#1103;&#1094;&#1080;&#1086;&#1085;&#1085;&#1099;&#1081;%20&#1072;&#1085;&#1072;&#1083;&#1080;&#1079;%20&#1074;%20&#1073;&#1080;&#1079;&#1085;&#1077;&#1089;&#1077;.xlsx" TargetMode="Externa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1057;&#1082;&#1083;&#1072;&#1076;\1\&#1089;&#1072;&#1081;&#1090;\&#1057;&#1090;&#1072;&#1078;%20&#1080;%20&#1047;&#105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57;&#1082;&#1083;&#1072;&#1076;\1\&#1089;&#1072;&#1081;&#1090;\&#1058;&#1080;&#1087;&#1099;%20&#1076;&#1080;&#1072;&#1075;&#1088;&#1072;&#1084;&#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pivotSource>
    <c:name>[Стаж и ЗП.xlsx]стаж-ЗП!СводнаяТаблица1</c:name>
    <c:fmtId val="6"/>
  </c:pivotSource>
  <c:chart>
    <c:title>
      <c:tx>
        <c:rich>
          <a:bodyPr/>
          <a:lstStyle/>
          <a:p>
            <a:pPr>
              <a:defRPr/>
            </a:pPr>
            <a:r>
              <a:rPr lang="ru-RU" sz="1200"/>
              <a:t>Стаж сотрудников по диапазонам зарплат</a:t>
            </a:r>
          </a:p>
        </c:rich>
      </c:tx>
    </c:title>
    <c:pivotFmts>
      <c:pivotFmt>
        <c:idx val="0"/>
        <c:marker>
          <c:symbol val="none"/>
        </c:marker>
      </c:pivotFmt>
      <c:pivotFmt>
        <c:idx val="1"/>
        <c:marker>
          <c:symbol val="none"/>
        </c:marker>
      </c:pivotFmt>
      <c:pivotFmt>
        <c:idx val="2"/>
        <c:marker>
          <c:symbol val="none"/>
        </c:marker>
        <c:dLbl>
          <c:idx val="0"/>
          <c:spPr/>
          <c:txPr>
            <a:bodyPr/>
            <a:lstStyle/>
            <a:p>
              <a:pPr>
                <a:defRPr/>
              </a:pPr>
              <a:endParaRPr lang="ru-RU"/>
            </a:p>
          </c:txPr>
          <c:showVal val="1"/>
        </c:dLbl>
      </c:pivotFmt>
      <c:pivotFmt>
        <c:idx val="3"/>
        <c:marker>
          <c:symbol val="none"/>
        </c:marker>
        <c:dLbl>
          <c:idx val="0"/>
          <c:spPr/>
          <c:txPr>
            <a:bodyPr/>
            <a:lstStyle/>
            <a:p>
              <a:pPr>
                <a:defRPr/>
              </a:pPr>
              <a:endParaRPr lang="ru-RU"/>
            </a:p>
          </c:txPr>
          <c:showVal val="1"/>
        </c:dLbl>
      </c:pivotFmt>
    </c:pivotFmts>
    <c:plotArea>
      <c:layout/>
      <c:barChart>
        <c:barDir val="col"/>
        <c:grouping val="clustered"/>
        <c:ser>
          <c:idx val="0"/>
          <c:order val="0"/>
          <c:tx>
            <c:strRef>
              <c:f>'стаж-ЗП'!$G$4</c:f>
              <c:strCache>
                <c:ptCount val="1"/>
                <c:pt idx="0">
                  <c:v>Итог</c:v>
                </c:pt>
              </c:strCache>
            </c:strRef>
          </c:tx>
          <c:dLbls>
            <c:txPr>
              <a:bodyPr/>
              <a:lstStyle/>
              <a:p>
                <a:pPr>
                  <a:defRPr/>
                </a:pPr>
                <a:endParaRPr lang="ru-RU"/>
              </a:p>
            </c:txPr>
            <c:showVal val="1"/>
          </c:dLbls>
          <c:cat>
            <c:strRef>
              <c:f>'стаж-ЗП'!$F$5:$F$9</c:f>
              <c:strCache>
                <c:ptCount val="5"/>
                <c:pt idx="0">
                  <c:v>&lt;25000</c:v>
                </c:pt>
                <c:pt idx="1">
                  <c:v>25000-27999</c:v>
                </c:pt>
                <c:pt idx="2">
                  <c:v>28000-30999</c:v>
                </c:pt>
                <c:pt idx="3">
                  <c:v>31000-34000</c:v>
                </c:pt>
                <c:pt idx="4">
                  <c:v>&gt;34000</c:v>
                </c:pt>
              </c:strCache>
            </c:strRef>
          </c:cat>
          <c:val>
            <c:numRef>
              <c:f>'стаж-ЗП'!$G$5:$G$9</c:f>
              <c:numCache>
                <c:formatCode>0.0</c:formatCode>
                <c:ptCount val="5"/>
                <c:pt idx="0">
                  <c:v>0.89212328767123306</c:v>
                </c:pt>
                <c:pt idx="1">
                  <c:v>1.1268565248738289</c:v>
                </c:pt>
                <c:pt idx="2">
                  <c:v>1.8932337069323373</c:v>
                </c:pt>
                <c:pt idx="3">
                  <c:v>2.9093542074364005</c:v>
                </c:pt>
                <c:pt idx="4">
                  <c:v>4.679984779299847</c:v>
                </c:pt>
              </c:numCache>
            </c:numRef>
          </c:val>
        </c:ser>
        <c:axId val="92109440"/>
        <c:axId val="92112384"/>
      </c:barChart>
      <c:catAx>
        <c:axId val="92109440"/>
        <c:scaling>
          <c:orientation val="minMax"/>
        </c:scaling>
        <c:axPos val="b"/>
        <c:title>
          <c:tx>
            <c:rich>
              <a:bodyPr/>
              <a:lstStyle/>
              <a:p>
                <a:pPr>
                  <a:defRPr baseline="0">
                    <a:latin typeface="Calibri" pitchFamily="34" charset="0"/>
                  </a:defRPr>
                </a:pPr>
                <a:r>
                  <a:rPr lang="ru-RU" sz="1000" b="0" i="0" baseline="0">
                    <a:latin typeface="Calibri" pitchFamily="34" charset="0"/>
                  </a:rPr>
                  <a:t>Диапазон ЗП на сегодня или на момент увольнения, руб.</a:t>
                </a:r>
              </a:p>
            </c:rich>
          </c:tx>
        </c:title>
        <c:tickLblPos val="nextTo"/>
        <c:crossAx val="92112384"/>
        <c:crosses val="autoZero"/>
        <c:auto val="1"/>
        <c:lblAlgn val="ctr"/>
        <c:lblOffset val="100"/>
      </c:catAx>
      <c:valAx>
        <c:axId val="92112384"/>
        <c:scaling>
          <c:orientation val="minMax"/>
        </c:scaling>
        <c:delete val="1"/>
        <c:axPos val="l"/>
        <c:title>
          <c:tx>
            <c:rich>
              <a:bodyPr rot="-5400000" vert="horz"/>
              <a:lstStyle/>
              <a:p>
                <a:pPr>
                  <a:defRPr sz="1000" baseline="0">
                    <a:latin typeface="Calibri" pitchFamily="34" charset="0"/>
                  </a:defRPr>
                </a:pPr>
                <a:r>
                  <a:rPr lang="ru-RU" sz="1000" b="0" i="0" baseline="0">
                    <a:latin typeface="Calibri" pitchFamily="34" charset="0"/>
                  </a:rPr>
                  <a:t>Стаж на сегодня или на момент увольнения, лет</a:t>
                </a:r>
              </a:p>
            </c:rich>
          </c:tx>
        </c:title>
        <c:numFmt formatCode="0.0" sourceLinked="1"/>
        <c:tickLblPos val="none"/>
        <c:crossAx val="9210944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a:pPr>
            <a:r>
              <a:rPr lang="ru-RU" sz="1100"/>
              <a:t>Место в чемпионате Континентальной хоккейной</a:t>
            </a:r>
            <a:r>
              <a:rPr lang="ru-RU" sz="1100" baseline="0"/>
              <a:t> лиги</a:t>
            </a:r>
            <a:r>
              <a:rPr lang="ru-RU" sz="1100"/>
              <a:t> 2008-2009 и бюджет клуба</a:t>
            </a:r>
          </a:p>
        </c:rich>
      </c:tx>
    </c:title>
    <c:plotArea>
      <c:layout/>
      <c:scatterChart>
        <c:scatterStyle val="lineMarker"/>
        <c:ser>
          <c:idx val="0"/>
          <c:order val="0"/>
          <c:tx>
            <c:strRef>
              <c:f>примеры!$D$90</c:f>
              <c:strCache>
                <c:ptCount val="1"/>
                <c:pt idx="0">
                  <c:v>Место в чемпионате КХЛ</c:v>
                </c:pt>
              </c:strCache>
            </c:strRef>
          </c:tx>
          <c:spPr>
            <a:ln w="28575">
              <a:noFill/>
            </a:ln>
          </c:spPr>
          <c:marker>
            <c:symbol val="circle"/>
            <c:size val="6"/>
            <c:spPr>
              <a:solidFill>
                <a:srgbClr val="FF0000"/>
              </a:solidFill>
              <a:ln>
                <a:solidFill>
                  <a:prstClr val="black"/>
                </a:solidFill>
              </a:ln>
            </c:spPr>
          </c:marker>
          <c:xVal>
            <c:numRef>
              <c:f>примеры!$C$91:$C$114</c:f>
              <c:numCache>
                <c:formatCode>#,##0</c:formatCode>
                <c:ptCount val="24"/>
                <c:pt idx="0">
                  <c:v>798.86019299999884</c:v>
                </c:pt>
                <c:pt idx="1">
                  <c:v>613.89318700000001</c:v>
                </c:pt>
                <c:pt idx="2">
                  <c:v>540.39673500000004</c:v>
                </c:pt>
                <c:pt idx="3">
                  <c:v>533.45168899999896</c:v>
                </c:pt>
                <c:pt idx="4">
                  <c:v>507.41315299999917</c:v>
                </c:pt>
                <c:pt idx="5">
                  <c:v>507.02957099999969</c:v>
                </c:pt>
                <c:pt idx="6">
                  <c:v>489.55392499999999</c:v>
                </c:pt>
                <c:pt idx="7">
                  <c:v>372.45865799999956</c:v>
                </c:pt>
                <c:pt idx="8">
                  <c:v>460.262427</c:v>
                </c:pt>
                <c:pt idx="9">
                  <c:v>421.79259699999949</c:v>
                </c:pt>
                <c:pt idx="10">
                  <c:v>347.2707539999995</c:v>
                </c:pt>
                <c:pt idx="11">
                  <c:v>330.56560000000002</c:v>
                </c:pt>
                <c:pt idx="12">
                  <c:v>314.337603</c:v>
                </c:pt>
                <c:pt idx="13">
                  <c:v>242.26364199999998</c:v>
                </c:pt>
                <c:pt idx="14">
                  <c:v>213.76970299999977</c:v>
                </c:pt>
                <c:pt idx="15">
                  <c:v>211.94194000000007</c:v>
                </c:pt>
                <c:pt idx="16">
                  <c:v>207.47829200000001</c:v>
                </c:pt>
                <c:pt idx="17">
                  <c:v>207.02786800000001</c:v>
                </c:pt>
                <c:pt idx="18">
                  <c:v>205.93714000000023</c:v>
                </c:pt>
                <c:pt idx="19">
                  <c:v>188.751711</c:v>
                </c:pt>
                <c:pt idx="20">
                  <c:v>183.98058499999999</c:v>
                </c:pt>
                <c:pt idx="21">
                  <c:v>150.06088299999999</c:v>
                </c:pt>
                <c:pt idx="22">
                  <c:v>117.64382500000002</c:v>
                </c:pt>
                <c:pt idx="23">
                  <c:v>112.17100000000001</c:v>
                </c:pt>
              </c:numCache>
            </c:numRef>
          </c:xVal>
          <c:yVal>
            <c:numRef>
              <c:f>примеры!$D$91:$D$114</c:f>
              <c:numCache>
                <c:formatCode>General</c:formatCode>
                <c:ptCount val="24"/>
                <c:pt idx="0">
                  <c:v>16</c:v>
                </c:pt>
                <c:pt idx="1">
                  <c:v>2</c:v>
                </c:pt>
                <c:pt idx="2">
                  <c:v>5</c:v>
                </c:pt>
                <c:pt idx="3">
                  <c:v>1</c:v>
                </c:pt>
                <c:pt idx="4">
                  <c:v>7</c:v>
                </c:pt>
                <c:pt idx="5">
                  <c:v>3</c:v>
                </c:pt>
                <c:pt idx="6">
                  <c:v>6</c:v>
                </c:pt>
                <c:pt idx="7">
                  <c:v>4</c:v>
                </c:pt>
                <c:pt idx="8">
                  <c:v>8</c:v>
                </c:pt>
                <c:pt idx="9">
                  <c:v>17</c:v>
                </c:pt>
                <c:pt idx="10">
                  <c:v>11</c:v>
                </c:pt>
                <c:pt idx="11">
                  <c:v>12</c:v>
                </c:pt>
                <c:pt idx="12">
                  <c:v>15</c:v>
                </c:pt>
                <c:pt idx="13">
                  <c:v>9</c:v>
                </c:pt>
                <c:pt idx="14">
                  <c:v>19</c:v>
                </c:pt>
                <c:pt idx="15">
                  <c:v>21</c:v>
                </c:pt>
                <c:pt idx="16">
                  <c:v>14</c:v>
                </c:pt>
                <c:pt idx="17">
                  <c:v>23</c:v>
                </c:pt>
                <c:pt idx="18">
                  <c:v>13</c:v>
                </c:pt>
                <c:pt idx="19">
                  <c:v>18</c:v>
                </c:pt>
                <c:pt idx="20">
                  <c:v>20</c:v>
                </c:pt>
                <c:pt idx="21">
                  <c:v>10</c:v>
                </c:pt>
                <c:pt idx="22">
                  <c:v>22</c:v>
                </c:pt>
                <c:pt idx="23">
                  <c:v>24</c:v>
                </c:pt>
              </c:numCache>
            </c:numRef>
          </c:yVal>
        </c:ser>
        <c:axId val="127633664"/>
        <c:axId val="128734720"/>
      </c:scatterChart>
      <c:valAx>
        <c:axId val="127633664"/>
        <c:scaling>
          <c:orientation val="minMax"/>
          <c:max val="800"/>
          <c:min val="0"/>
        </c:scaling>
        <c:axPos val="b"/>
        <c:title>
          <c:tx>
            <c:rich>
              <a:bodyPr/>
              <a:lstStyle/>
              <a:p>
                <a:pPr>
                  <a:defRPr/>
                </a:pPr>
                <a:r>
                  <a:rPr lang="ru-RU"/>
                  <a:t>Бюджет, млн. руб.</a:t>
                </a:r>
              </a:p>
            </c:rich>
          </c:tx>
          <c:layout>
            <c:manualLayout>
              <c:xMode val="edge"/>
              <c:yMode val="edge"/>
              <c:x val="0.3989896408651839"/>
              <c:y val="0.89220566962860004"/>
            </c:manualLayout>
          </c:layout>
        </c:title>
        <c:numFmt formatCode="#,##0" sourceLinked="1"/>
        <c:tickLblPos val="nextTo"/>
        <c:crossAx val="128734720"/>
        <c:crosses val="autoZero"/>
        <c:crossBetween val="midCat"/>
      </c:valAx>
      <c:valAx>
        <c:axId val="128734720"/>
        <c:scaling>
          <c:orientation val="minMax"/>
          <c:max val="25"/>
          <c:min val="1"/>
        </c:scaling>
        <c:axPos val="l"/>
        <c:majorGridlines/>
        <c:title>
          <c:tx>
            <c:rich>
              <a:bodyPr rot="-5400000" vert="horz"/>
              <a:lstStyle/>
              <a:p>
                <a:pPr>
                  <a:defRPr/>
                </a:pPr>
                <a:r>
                  <a:rPr lang="ru-RU"/>
                  <a:t>Место</a:t>
                </a:r>
                <a:r>
                  <a:rPr lang="ru-RU" baseline="0"/>
                  <a:t> в регулярном чемпионате</a:t>
                </a:r>
                <a:endParaRPr lang="ru-RU"/>
              </a:p>
            </c:rich>
          </c:tx>
          <c:layout>
            <c:manualLayout>
              <c:xMode val="edge"/>
              <c:yMode val="edge"/>
              <c:x val="2.2222222222222251E-2"/>
              <c:y val="0.2244409448818902"/>
            </c:manualLayout>
          </c:layout>
        </c:title>
        <c:numFmt formatCode="General" sourceLinked="1"/>
        <c:tickLblPos val="nextTo"/>
        <c:crossAx val="127633664"/>
        <c:crosses val="autoZero"/>
        <c:crossBetween val="midCat"/>
        <c:majorUnit val="4"/>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A430A27-5142-4B07-B8CC-47594A6C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741</Words>
  <Characters>4229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Baguzin</cp:lastModifiedBy>
  <cp:revision>10</cp:revision>
  <dcterms:created xsi:type="dcterms:W3CDTF">2010-11-18T06:52:00Z</dcterms:created>
  <dcterms:modified xsi:type="dcterms:W3CDTF">2010-11-18T10:39:00Z</dcterms:modified>
</cp:coreProperties>
</file>