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C85DE8" w:rsidRDefault="00C85DE8" w:rsidP="009723B8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Н</w:t>
      </w:r>
      <w:r w:rsidR="006757BC" w:rsidRPr="00A54916">
        <w:rPr>
          <w:b/>
          <w:sz w:val="28"/>
        </w:rPr>
        <w:t>ормально</w:t>
      </w:r>
      <w:r>
        <w:rPr>
          <w:b/>
          <w:sz w:val="28"/>
        </w:rPr>
        <w:t>е</w:t>
      </w:r>
      <w:r w:rsidR="006757BC" w:rsidRPr="00A54916">
        <w:rPr>
          <w:b/>
          <w:sz w:val="28"/>
        </w:rPr>
        <w:t xml:space="preserve"> распределени</w:t>
      </w:r>
      <w:r>
        <w:rPr>
          <w:b/>
          <w:sz w:val="28"/>
        </w:rPr>
        <w:t xml:space="preserve">е. Построение графика в </w:t>
      </w:r>
      <w:r>
        <w:rPr>
          <w:b/>
          <w:sz w:val="28"/>
          <w:lang w:val="en-US"/>
        </w:rPr>
        <w:t>Excel</w:t>
      </w:r>
    </w:p>
    <w:p w:rsidR="0047633A" w:rsidRDefault="0047633A" w:rsidP="0046633A">
      <w:pPr>
        <w:spacing w:after="120" w:line="240" w:lineRule="auto"/>
      </w:pPr>
      <w:r>
        <w:t>Наверное</w:t>
      </w:r>
      <w:r w:rsidR="00A54916">
        <w:t>,</w:t>
      </w:r>
      <w:r>
        <w:t xml:space="preserve"> не все знают, что в </w:t>
      </w:r>
      <w:r>
        <w:rPr>
          <w:lang w:val="en-US"/>
        </w:rPr>
        <w:t>Excel</w:t>
      </w:r>
      <w:r w:rsidRPr="0047633A">
        <w:t xml:space="preserve"> </w:t>
      </w:r>
      <w:r>
        <w:t xml:space="preserve">есть встроенная функция для построения </w:t>
      </w:r>
      <w:r w:rsidRPr="00C85DE8">
        <w:rPr>
          <w:i/>
        </w:rPr>
        <w:t>нормального распределения</w:t>
      </w:r>
      <w:r>
        <w:t>.</w:t>
      </w:r>
      <w:r w:rsidR="00BA7E31" w:rsidRPr="009723B8">
        <w:t xml:space="preserve"> </w:t>
      </w:r>
      <w:r w:rsidR="009723B8">
        <w:t xml:space="preserve">Графики </w:t>
      </w:r>
      <w:r w:rsidR="009723B8" w:rsidRPr="00C85DE8">
        <w:rPr>
          <w:i/>
        </w:rPr>
        <w:t>нормального распределения</w:t>
      </w:r>
      <w:r w:rsidR="009723B8">
        <w:t xml:space="preserve"> часто используются для демонстрации идей статистической обработки данных.</w:t>
      </w:r>
    </w:p>
    <w:p w:rsidR="002F41E2" w:rsidRDefault="009723B8" w:rsidP="0046633A">
      <w:pPr>
        <w:spacing w:after="120" w:line="240" w:lineRule="auto"/>
      </w:pPr>
      <w:r>
        <w:t xml:space="preserve">В качестве примера обратимся к </w:t>
      </w:r>
      <w:r>
        <w:rPr>
          <w:lang w:val="en-US"/>
        </w:rPr>
        <w:t>Excel</w:t>
      </w:r>
      <w:r>
        <w:t>-файлу.</w:t>
      </w:r>
    </w:p>
    <w:p w:rsidR="009723B8" w:rsidRDefault="002F41E2" w:rsidP="0046633A">
      <w:pPr>
        <w:spacing w:after="120" w:line="240" w:lineRule="auto"/>
      </w:pPr>
      <w:r>
        <w:t xml:space="preserve">Функция </w:t>
      </w:r>
      <w:r w:rsidRPr="002F41E2">
        <w:t>НОРМРАСП</w:t>
      </w:r>
      <w:r>
        <w:t xml:space="preserve"> имеет следующий синтаксис:</w:t>
      </w:r>
    </w:p>
    <w:p w:rsidR="00BA7E31" w:rsidRPr="00BA7E31" w:rsidRDefault="00BA7E31" w:rsidP="00BA7E31">
      <w:pPr>
        <w:spacing w:after="120" w:line="240" w:lineRule="auto"/>
        <w:ind w:left="567"/>
        <w:rPr>
          <w:i/>
        </w:rPr>
      </w:pPr>
      <w:r w:rsidRPr="00BA7E31">
        <w:rPr>
          <w:i/>
        </w:rPr>
        <w:t>НОРМРАСП</w:t>
      </w:r>
      <w:r w:rsidR="001954FC">
        <w:rPr>
          <w:i/>
        </w:rPr>
        <w:t xml:space="preserve"> </w:t>
      </w:r>
      <w:r w:rsidRPr="00BA7E31">
        <w:rPr>
          <w:i/>
        </w:rPr>
        <w:t>(</w:t>
      </w:r>
      <w:r w:rsidR="001954FC">
        <w:rPr>
          <w:i/>
        </w:rPr>
        <w:t>Х</w:t>
      </w:r>
      <w:r w:rsidRPr="00BA7E31">
        <w:rPr>
          <w:i/>
        </w:rPr>
        <w:t>;</w:t>
      </w:r>
      <w:r w:rsidR="001954FC">
        <w:rPr>
          <w:i/>
        </w:rPr>
        <w:t xml:space="preserve"> </w:t>
      </w:r>
      <w:r w:rsidRPr="00BA7E31">
        <w:rPr>
          <w:i/>
        </w:rPr>
        <w:t>среднее;</w:t>
      </w:r>
      <w:r w:rsidR="001954FC">
        <w:rPr>
          <w:i/>
        </w:rPr>
        <w:t xml:space="preserve"> </w:t>
      </w:r>
      <w:r w:rsidRPr="00BA7E31">
        <w:rPr>
          <w:i/>
        </w:rPr>
        <w:t>стандартное_откл;</w:t>
      </w:r>
      <w:r w:rsidR="001954FC">
        <w:rPr>
          <w:i/>
        </w:rPr>
        <w:t xml:space="preserve"> </w:t>
      </w:r>
      <w:r w:rsidRPr="00BA7E31">
        <w:rPr>
          <w:i/>
        </w:rPr>
        <w:t>интегральная)</w:t>
      </w:r>
    </w:p>
    <w:p w:rsidR="002F41E2" w:rsidRPr="002F41E2" w:rsidRDefault="002F41E2" w:rsidP="00BA7E31">
      <w:pPr>
        <w:spacing w:after="120" w:line="240" w:lineRule="auto"/>
        <w:ind w:left="567"/>
      </w:pPr>
      <w:r w:rsidRPr="002F41E2">
        <w:rPr>
          <w:i/>
        </w:rPr>
        <w:t>Х</w:t>
      </w:r>
      <w:r w:rsidR="00BA7E31" w:rsidRPr="002F41E2">
        <w:t xml:space="preserve"> — </w:t>
      </w:r>
      <w:r w:rsidRPr="002F41E2">
        <w:t xml:space="preserve">аргумент функции; </w:t>
      </w:r>
      <w:r w:rsidR="0054695D">
        <w:t>фактич</w:t>
      </w:r>
      <w:r w:rsidR="00AB39DB">
        <w:t>е</w:t>
      </w:r>
      <w:r w:rsidR="0054695D">
        <w:t>ски</w:t>
      </w:r>
      <w:r w:rsidRPr="002F41E2">
        <w:t xml:space="preserve"> НОРМРАСП можно трактовать как </w:t>
      </w:r>
      <w:r w:rsidRPr="002F41E2">
        <w:rPr>
          <w:lang w:val="en-US"/>
        </w:rPr>
        <w:t>y</w:t>
      </w:r>
      <w:r w:rsidRPr="002F41E2">
        <w:t>=</w:t>
      </w:r>
      <w:r w:rsidRPr="002F41E2">
        <w:rPr>
          <w:lang w:val="en-US"/>
        </w:rPr>
        <w:t>f</w:t>
      </w:r>
      <w:r w:rsidRPr="002F41E2">
        <w:t>(</w:t>
      </w:r>
      <w:r w:rsidRPr="002F41E2">
        <w:rPr>
          <w:lang w:val="en-US"/>
        </w:rPr>
        <w:t>x</w:t>
      </w:r>
      <w:r w:rsidRPr="002F41E2">
        <w:t xml:space="preserve">); при этом функция возвращает вероятность реализации события </w:t>
      </w:r>
      <w:r w:rsidRPr="002F41E2">
        <w:rPr>
          <w:i/>
        </w:rPr>
        <w:t>Х</w:t>
      </w:r>
    </w:p>
    <w:p w:rsidR="00BA7E31" w:rsidRPr="002F41E2" w:rsidRDefault="00BA7E31" w:rsidP="00BA7E31">
      <w:pPr>
        <w:spacing w:after="120" w:line="240" w:lineRule="auto"/>
        <w:ind w:left="567"/>
      </w:pPr>
      <w:r w:rsidRPr="002F41E2">
        <w:rPr>
          <w:i/>
        </w:rPr>
        <w:t>Среднее</w:t>
      </w:r>
      <w:r w:rsidR="00D44D9F">
        <w:rPr>
          <w:i/>
        </w:rPr>
        <w:t xml:space="preserve"> (µ)</w:t>
      </w:r>
      <w:r w:rsidRPr="002F41E2">
        <w:t xml:space="preserve"> — средн</w:t>
      </w:r>
      <w:r w:rsidR="002F41E2" w:rsidRPr="002F41E2">
        <w:t>ее арифметическое распределения</w:t>
      </w:r>
      <w:r w:rsidR="002F41E2">
        <w:t>; чем дальше Х от среднего, тем ниже вероятность реализации такого события</w:t>
      </w:r>
    </w:p>
    <w:p w:rsidR="00BA7E31" w:rsidRPr="0054695D" w:rsidRDefault="00BA7E31" w:rsidP="00BA7E31">
      <w:pPr>
        <w:spacing w:after="120" w:line="240" w:lineRule="auto"/>
        <w:ind w:left="567"/>
      </w:pPr>
      <w:r w:rsidRPr="002F41E2">
        <w:rPr>
          <w:i/>
        </w:rPr>
        <w:t>Стандартное_откл</w:t>
      </w:r>
      <w:r w:rsidR="00D44D9F">
        <w:rPr>
          <w:i/>
        </w:rPr>
        <w:t xml:space="preserve"> (</w:t>
      </w:r>
      <w:r w:rsidR="00D44D9F">
        <w:rPr>
          <w:lang w:val="en-US"/>
        </w:rPr>
        <w:t>σ</w:t>
      </w:r>
      <w:r w:rsidR="00D44D9F">
        <w:t>)</w:t>
      </w:r>
      <w:r w:rsidRPr="002F41E2">
        <w:t xml:space="preserve"> — станд</w:t>
      </w:r>
      <w:r w:rsidR="002F41E2" w:rsidRPr="002F41E2">
        <w:t>артное отклонение распределения</w:t>
      </w:r>
      <w:r w:rsidR="0054695D">
        <w:t xml:space="preserve">; мера кучности; чем меньше </w:t>
      </w:r>
      <w:r w:rsidR="0054695D">
        <w:rPr>
          <w:lang w:val="en-US"/>
        </w:rPr>
        <w:t>σ</w:t>
      </w:r>
      <w:r w:rsidR="0054695D">
        <w:t xml:space="preserve">, тем выше вероятность у тех Х, которые расположены ближе к </w:t>
      </w:r>
      <w:r w:rsidR="0054695D" w:rsidRPr="0054695D">
        <w:rPr>
          <w:i/>
        </w:rPr>
        <w:t>среднему</w:t>
      </w:r>
    </w:p>
    <w:p w:rsidR="00BA7E31" w:rsidRPr="002F41E2" w:rsidRDefault="00BA7E31" w:rsidP="00BA7E31">
      <w:pPr>
        <w:spacing w:after="120" w:line="240" w:lineRule="auto"/>
        <w:ind w:left="567"/>
      </w:pPr>
      <w:r w:rsidRPr="002F41E2">
        <w:rPr>
          <w:i/>
        </w:rPr>
        <w:t>Интегральная</w:t>
      </w:r>
      <w:r w:rsidRPr="002F41E2">
        <w:t xml:space="preserve"> — логическое значение, определяющее форму функции. Если «интегральная» имеет значение ИСТИНА, функция НОРМРАСП возвращает интегральную функцию распределения</w:t>
      </w:r>
      <w:r w:rsidR="002F41E2">
        <w:t xml:space="preserve">, тот есть суммарную вероятность всех событий для аргументов от -∞ до </w:t>
      </w:r>
      <w:r w:rsidR="002F41E2" w:rsidRPr="002F41E2">
        <w:rPr>
          <w:i/>
        </w:rPr>
        <w:t>Х</w:t>
      </w:r>
      <w:r w:rsidRPr="002F41E2">
        <w:t xml:space="preserve">; если </w:t>
      </w:r>
      <w:r w:rsidR="002F41E2" w:rsidRPr="002F41E2">
        <w:t xml:space="preserve">«интегральная» </w:t>
      </w:r>
      <w:r w:rsidRPr="002F41E2">
        <w:t xml:space="preserve">имеет значение ЛОЖЬ, возвращается </w:t>
      </w:r>
      <w:r w:rsidR="002F41E2" w:rsidRPr="002F41E2">
        <w:t xml:space="preserve">вероятность реализации события </w:t>
      </w:r>
      <w:r w:rsidR="002F41E2" w:rsidRPr="002F41E2">
        <w:rPr>
          <w:i/>
        </w:rPr>
        <w:t>Х</w:t>
      </w:r>
      <w:r w:rsidR="0054695D">
        <w:rPr>
          <w:i/>
        </w:rPr>
        <w:t xml:space="preserve">, </w:t>
      </w:r>
      <w:r w:rsidR="0054695D" w:rsidRPr="0054695D">
        <w:t>точнее говоря</w:t>
      </w:r>
      <w:r w:rsidR="0054695D">
        <w:t xml:space="preserve">, вероятность событий находящихся в некотором диапазоне вокруг </w:t>
      </w:r>
      <w:r w:rsidR="0054695D" w:rsidRPr="0054695D">
        <w:rPr>
          <w:i/>
        </w:rPr>
        <w:t>Х</w:t>
      </w:r>
    </w:p>
    <w:p w:rsidR="00BA7E31" w:rsidRDefault="002D37A9" w:rsidP="0046633A">
      <w:pPr>
        <w:spacing w:after="120" w:line="240" w:lineRule="auto"/>
      </w:pPr>
      <w:r>
        <w:t>Например, для µ=</w:t>
      </w:r>
      <w:r w:rsidR="00D44D9F">
        <w:t>0 имеем:</w:t>
      </w:r>
    </w:p>
    <w:p w:rsidR="002829E2" w:rsidRDefault="00F8060A" w:rsidP="0046633A">
      <w:pPr>
        <w:spacing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8pt;margin-top:127.15pt;width:172.5pt;height:18pt;z-index:251660288;mso-width-relative:margin;mso-height-relative:margin" filled="f" stroked="f">
            <v:textbox inset="1mm,1mm,1mm,1mm">
              <w:txbxContent>
                <w:p w:rsidR="003F5BB1" w:rsidRPr="00C55A31" w:rsidRDefault="003F5BB1" w:rsidP="002B5D02">
                  <w:pPr>
                    <w:tabs>
                      <w:tab w:val="center" w:pos="737"/>
                      <w:tab w:val="center" w:pos="1304"/>
                      <w:tab w:val="center" w:pos="1899"/>
                      <w:tab w:val="center" w:pos="2495"/>
                      <w:tab w:val="center" w:pos="309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2,14</w:t>
                  </w:r>
                  <w:r w:rsidRPr="00C55A31">
                    <w:rPr>
                      <w:sz w:val="18"/>
                    </w:rPr>
                    <w:tab/>
                    <w:t>13,59</w:t>
                  </w:r>
                  <w:r w:rsidRPr="00C55A31">
                    <w:rPr>
                      <w:sz w:val="18"/>
                    </w:rPr>
                    <w:tab/>
                    <w:t>34,13</w:t>
                  </w:r>
                  <w:r>
                    <w:rPr>
                      <w:sz w:val="18"/>
                    </w:rPr>
                    <w:tab/>
                    <w:t>34,13</w:t>
                  </w:r>
                  <w:r>
                    <w:rPr>
                      <w:sz w:val="18"/>
                    </w:rPr>
                    <w:tab/>
                    <w:t>13,59</w:t>
                  </w:r>
                  <w:r>
                    <w:rPr>
                      <w:sz w:val="18"/>
                    </w:rPr>
                    <w:tab/>
                    <w:t>2,14</w:t>
                  </w:r>
                </w:p>
              </w:txbxContent>
            </v:textbox>
          </v:shape>
        </w:pict>
      </w:r>
      <w:r w:rsidR="002D37A9">
        <w:rPr>
          <w:noProof/>
          <w:lang w:eastAsia="ru-RU"/>
        </w:rPr>
        <w:drawing>
          <wp:inline distT="0" distB="0" distL="0" distR="0">
            <wp:extent cx="4808015" cy="2286000"/>
            <wp:effectExtent l="19050" t="0" r="0" b="0"/>
            <wp:docPr id="3" name="Рисунок 2" descr="Нормальное распредел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альное распределение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0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9F" w:rsidRDefault="002D37A9" w:rsidP="0046633A">
      <w:pPr>
        <w:spacing w:after="120" w:line="240" w:lineRule="auto"/>
      </w:pPr>
      <w:r>
        <w:t xml:space="preserve">Здесь по оси абсцисс единица измерения – </w:t>
      </w:r>
      <w:r w:rsidRPr="002D37A9">
        <w:t>σ</w:t>
      </w:r>
      <w:r w:rsidR="001B28C9">
        <w:t>, или</w:t>
      </w:r>
      <w:r w:rsidR="001B28C9" w:rsidRPr="001B28C9">
        <w:t xml:space="preserve"> (</w:t>
      </w:r>
      <w:r w:rsidR="001B28C9">
        <w:t>что то</w:t>
      </w:r>
      <w:r w:rsidR="009B41EB" w:rsidRPr="009B41EB">
        <w:t xml:space="preserve"> </w:t>
      </w:r>
      <w:r w:rsidR="001B28C9">
        <w:t xml:space="preserve">же самое), можно сказать, что график построен для </w:t>
      </w:r>
      <w:r w:rsidR="001B28C9" w:rsidRPr="002D37A9">
        <w:t>σ</w:t>
      </w:r>
      <w:r w:rsidR="001B28C9" w:rsidRPr="001B28C9">
        <w:t xml:space="preserve"> = 1</w:t>
      </w:r>
      <w:r>
        <w:t xml:space="preserve">. </w:t>
      </w:r>
      <w:r w:rsidR="009A53B0">
        <w:t>То есть, «-2»</w:t>
      </w:r>
      <w:r w:rsidR="001B28C9">
        <w:t xml:space="preserve"> на графике</w:t>
      </w:r>
      <w:r w:rsidR="009A53B0">
        <w:t xml:space="preserve"> означает -2</w:t>
      </w:r>
      <w:r w:rsidR="009A53B0" w:rsidRPr="002D37A9">
        <w:t>σ</w:t>
      </w:r>
      <w:r w:rsidR="009A53B0">
        <w:t xml:space="preserve">. </w:t>
      </w:r>
      <w:r>
        <w:t xml:space="preserve">По оси ординат </w:t>
      </w:r>
      <w:r w:rsidR="009A53B0">
        <w:t xml:space="preserve">шкала убрана умышленно, так как она лишена смысла. Точнее говоря, высота </w:t>
      </w:r>
      <w:r w:rsidR="00C55A31">
        <w:t xml:space="preserve">кривой </w:t>
      </w:r>
      <w:r w:rsidR="009A53B0">
        <w:t>зависит от плотности точек на оси абсцисс, по которым мы строим график. Например, если на интервал от 0 до 1</w:t>
      </w:r>
      <w:r w:rsidR="009A53B0" w:rsidRPr="002D37A9">
        <w:t>σ</w:t>
      </w:r>
      <w:r w:rsidR="009A53B0">
        <w:t xml:space="preserve"> приходится 10 точек, то высота </w:t>
      </w:r>
      <w:r w:rsidR="009B41EB">
        <w:t xml:space="preserve">в максимуме </w:t>
      </w:r>
      <w:r w:rsidR="009A53B0">
        <w:t xml:space="preserve">составит 4%, а если 20 точек – 2%. Здесь проценты означают вероятность попадания случайной величины в узкий диапазон окрестности </w:t>
      </w:r>
      <w:r w:rsidR="00C55A31">
        <w:t>точки на оси абсцисс. Зато имеет смысл площадь под кривой на определенном интервале. И эта площадь не зависит от плотности точек. Так, например, площадь под кривой на интервале от 0 до 1</w:t>
      </w:r>
      <w:r w:rsidR="00C55A31" w:rsidRPr="002D37A9">
        <w:t>σ</w:t>
      </w:r>
      <w:r w:rsidR="00C55A31">
        <w:t xml:space="preserve"> составляет 34,13%. Это значение можно интерпретировать следующим образом: с вероятностью 68,26% случайная величина Х попадет в диапазон </w:t>
      </w:r>
      <w:r w:rsidR="00C55A31" w:rsidRPr="00C55A31">
        <w:t>µ</w:t>
      </w:r>
      <w:r w:rsidR="00C55A31">
        <w:t xml:space="preserve"> ± </w:t>
      </w:r>
      <w:r w:rsidR="00C55A31" w:rsidRPr="002D37A9">
        <w:t>σ</w:t>
      </w:r>
      <w:r w:rsidR="00C55A31">
        <w:t>.</w:t>
      </w:r>
    </w:p>
    <w:p w:rsidR="002B5D02" w:rsidRDefault="002B5D02" w:rsidP="0046633A">
      <w:pPr>
        <w:spacing w:after="120" w:line="240" w:lineRule="auto"/>
      </w:pPr>
      <w:r>
        <w:t xml:space="preserve">Теперь, наверное, вам будет лучше понятен смысл выражения «качество шести сигм». Оно означает, что производство налажено таким образом, что случайная величина Х (например, диаметр вала) находясь в диапазон </w:t>
      </w:r>
      <w:r w:rsidRPr="00C55A31">
        <w:t>µ</w:t>
      </w:r>
      <w:r>
        <w:t xml:space="preserve"> ± 6</w:t>
      </w:r>
      <w:r w:rsidRPr="002D37A9">
        <w:t>σ</w:t>
      </w:r>
      <w:r>
        <w:t>, всё еще удовлетворяет техническим условиям (допускам). Это достигается за счет значительного уменьшения сигмы</w:t>
      </w:r>
      <w:r w:rsidR="000C20F5">
        <w:t xml:space="preserve">, то есть случайная величина Х очень близка к нормативному значению </w:t>
      </w:r>
      <w:r w:rsidR="000C20F5" w:rsidRPr="00C55A31">
        <w:t>µ</w:t>
      </w:r>
      <w:r w:rsidR="000C20F5">
        <w:t>.</w:t>
      </w:r>
      <w:r w:rsidR="009B41EB">
        <w:t xml:space="preserve"> На графике ниже представлено три ситуации, когда границы допуска остаются неизменными, а благодаря повышению качества (</w:t>
      </w:r>
      <w:hyperlink r:id="rId5" w:history="1">
        <w:r w:rsidR="009B41EB" w:rsidRPr="0010750B">
          <w:rPr>
            <w:rStyle w:val="a3"/>
          </w:rPr>
          <w:t>уменьшению вариабельности</w:t>
        </w:r>
      </w:hyperlink>
      <w:r w:rsidR="009B41EB">
        <w:t>, сужению сигма) доля брака сокращается:</w:t>
      </w:r>
    </w:p>
    <w:p w:rsidR="0010750B" w:rsidRDefault="0010750B" w:rsidP="0046633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441477" cy="6940550"/>
            <wp:effectExtent l="19050" t="0" r="0" b="0"/>
            <wp:docPr id="1" name="Рисунок 0" descr="Уменьшение вариац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еньшение вариаций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172" cy="693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3A" w:rsidRDefault="0032653A" w:rsidP="0046633A">
      <w:pPr>
        <w:spacing w:after="120" w:line="240" w:lineRule="auto"/>
      </w:pPr>
      <w:r>
        <w:t>На первом рисунке только 1,5</w:t>
      </w:r>
      <w:r w:rsidRPr="002D37A9">
        <w:t>σ</w:t>
      </w:r>
      <w:r>
        <w:t xml:space="preserve"> попада</w:t>
      </w:r>
      <w:r w:rsidR="003F5BB1">
        <w:t>ю</w:t>
      </w:r>
      <w:r>
        <w:t>т в границы допуска, то есть только 86,6% деталей являются годными. На втором рисунке уже 3</w:t>
      </w:r>
      <w:r w:rsidRPr="002D37A9">
        <w:t>σ</w:t>
      </w:r>
      <w:r>
        <w:t xml:space="preserve"> попада</w:t>
      </w:r>
      <w:r w:rsidR="003F5BB1">
        <w:t>ю</w:t>
      </w:r>
      <w:r>
        <w:t xml:space="preserve">т в границы допуска, то есть 99,75% являются годными. Но </w:t>
      </w:r>
      <w:r w:rsidR="003F5BB1">
        <w:t xml:space="preserve">всё </w:t>
      </w:r>
      <w:r>
        <w:t xml:space="preserve">еще 25 </w:t>
      </w:r>
      <w:r w:rsidR="003F5BB1">
        <w:t>деталей из каждых 10 000 произведенных являются браком. На третьем рисунке целых 6</w:t>
      </w:r>
      <w:r w:rsidR="003F5BB1" w:rsidRPr="002D37A9">
        <w:t>σ</w:t>
      </w:r>
      <w:r w:rsidR="003F5BB1">
        <w:t xml:space="preserve"> попадают в границы допуска, то есть в брак попадут только две детали на миллиард изготовленных!</w:t>
      </w:r>
    </w:p>
    <w:p w:rsidR="009B41EB" w:rsidRDefault="0032653A" w:rsidP="0046633A">
      <w:pPr>
        <w:spacing w:after="120" w:line="240" w:lineRule="auto"/>
      </w:pPr>
      <w:r>
        <w:t xml:space="preserve"> </w:t>
      </w:r>
      <w:r w:rsidR="009B41EB">
        <w:t xml:space="preserve">Вообще-то говоря, измерение качества в </w:t>
      </w:r>
      <w:r w:rsidR="003F5BB1">
        <w:t xml:space="preserve">терминах сигм используют не совсем нормальное распределение. </w:t>
      </w:r>
      <w:r w:rsidR="003F5BB1">
        <w:sym w:font="Wingdings" w:char="F04A"/>
      </w:r>
      <w:r w:rsidR="003F5BB1">
        <w:t xml:space="preserve"> Вот что пишет на эту тему </w:t>
      </w:r>
      <w:hyperlink r:id="rId7" w:history="1">
        <w:proofErr w:type="spellStart"/>
        <w:r w:rsidR="003F5BB1" w:rsidRPr="003F5BB1">
          <w:rPr>
            <w:rStyle w:val="a3"/>
          </w:rPr>
          <w:t>Википедия</w:t>
        </w:r>
        <w:proofErr w:type="spellEnd"/>
      </w:hyperlink>
      <w:r w:rsidR="003F5BB1">
        <w:t>:</w:t>
      </w:r>
    </w:p>
    <w:p w:rsidR="003F5BB1" w:rsidRPr="004D58AA" w:rsidRDefault="003F5BB1" w:rsidP="004D58AA">
      <w:pPr>
        <w:spacing w:after="120" w:line="240" w:lineRule="auto"/>
        <w:ind w:left="567"/>
        <w:rPr>
          <w:i/>
        </w:rPr>
      </w:pPr>
      <w:r w:rsidRPr="004D58AA">
        <w:rPr>
          <w:i/>
        </w:rPr>
        <w:t xml:space="preserve">Опыт показывает, что показатели процессов имеют тенденцию изменяться с течением времени. В результате со временем в промежуток между границами поля допуска будет входить меньше, чем было установлено первоначально. Опытным путём было установлено, что изменение параметров во времени можно учесть с помощью смещения в </w:t>
      </w:r>
      <w:r w:rsidRPr="004D58AA">
        <w:rPr>
          <w:b/>
          <w:i/>
        </w:rPr>
        <w:t>1,5 сигма</w:t>
      </w:r>
      <w:r w:rsidRPr="004D58AA">
        <w:rPr>
          <w:i/>
        </w:rPr>
        <w:t xml:space="preserve">. Другими словами, с течением времени длина промежутка между границами поля допуска под кривой нормального распределения уменьшается до 4,5 сигма вследствие того, что </w:t>
      </w:r>
      <w:r w:rsidR="004D58AA">
        <w:rPr>
          <w:i/>
        </w:rPr>
        <w:t xml:space="preserve">среднее </w:t>
      </w:r>
      <w:r w:rsidRPr="004D58AA">
        <w:rPr>
          <w:i/>
        </w:rPr>
        <w:t>процесса с течением времени смещается и/или среднеквадратическое отклонение увеличивается.</w:t>
      </w:r>
    </w:p>
    <w:p w:rsidR="003F5BB1" w:rsidRPr="004D58AA" w:rsidRDefault="003F5BB1" w:rsidP="004D58AA">
      <w:pPr>
        <w:spacing w:after="120" w:line="240" w:lineRule="auto"/>
        <w:ind w:left="567"/>
        <w:rPr>
          <w:i/>
        </w:rPr>
      </w:pPr>
      <w:r w:rsidRPr="004D58AA">
        <w:rPr>
          <w:i/>
        </w:rPr>
        <w:lastRenderedPageBreak/>
        <w:t xml:space="preserve">Широко распространённое представление о «процессе шесть сигма» заключается в том, что такой процесс позволяет получить уровень качества 3,4 дефектных единиц на миллион готовых изделий при условии, что длина под кривой слева или справа от </w:t>
      </w:r>
      <w:r w:rsidR="004D58AA">
        <w:rPr>
          <w:i/>
        </w:rPr>
        <w:t>среднего</w:t>
      </w:r>
      <w:r w:rsidRPr="004D58AA">
        <w:rPr>
          <w:i/>
        </w:rPr>
        <w:t xml:space="preserve"> будет соответствовать 4,5 сигма (без учёта левого или правого конца кривой за границей поля допуска). Таким образом</w:t>
      </w:r>
      <w:r w:rsidR="004D58AA">
        <w:rPr>
          <w:i/>
        </w:rPr>
        <w:t>,</w:t>
      </w:r>
      <w:r w:rsidRPr="004D58AA">
        <w:rPr>
          <w:i/>
        </w:rPr>
        <w:t xml:space="preserve"> уровень качества 3,4 дефектных единиц на миллион готовых изделий соответствует длине промежутка 4,5 сигма, получаемых разницей между 6 сигма и сдвигом в 1,5 сигма, которое было введено, чтобы учесть изменение показателей с течением времени. Такая поправка создана для того, чтобы предупредить неправильною оценку уровня дефектности, </w:t>
      </w:r>
      <w:proofErr w:type="gramStart"/>
      <w:r w:rsidRPr="004D58AA">
        <w:rPr>
          <w:i/>
        </w:rPr>
        <w:t>встречающееся</w:t>
      </w:r>
      <w:proofErr w:type="gramEnd"/>
      <w:r w:rsidRPr="004D58AA">
        <w:rPr>
          <w:i/>
        </w:rPr>
        <w:t xml:space="preserve"> в реальных условиях.</w:t>
      </w:r>
    </w:p>
    <w:p w:rsidR="004D58AA" w:rsidRDefault="004D58AA" w:rsidP="003F5BB1">
      <w:pPr>
        <w:spacing w:after="120" w:line="240" w:lineRule="auto"/>
      </w:pPr>
      <w:r>
        <w:t>С моей точки зрения, не вполне внятное объяснение. Тем не менее, во всем мире принята следующая таблица соответствия числа дефектов и уровня качества в сигмах:</w:t>
      </w:r>
    </w:p>
    <w:tbl>
      <w:tblPr>
        <w:tblW w:w="8515" w:type="dxa"/>
        <w:tblInd w:w="98" w:type="dxa"/>
        <w:tblLook w:val="04A0"/>
      </w:tblPr>
      <w:tblGrid>
        <w:gridCol w:w="960"/>
        <w:gridCol w:w="2940"/>
        <w:gridCol w:w="2064"/>
        <w:gridCol w:w="2551"/>
      </w:tblGrid>
      <w:tr w:rsidR="004D58AA" w:rsidRPr="004D58AA" w:rsidTr="004D58A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b/>
                <w:bCs/>
                <w:lang w:eastAsia="ru-RU"/>
              </w:rPr>
              <w:t>Число сигм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b/>
                <w:bCs/>
                <w:lang w:eastAsia="ru-RU"/>
              </w:rPr>
              <w:t>Число дефектов на миллион измерений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Процент дефектов (несоответствий)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b/>
                <w:bCs/>
                <w:lang w:eastAsia="ru-RU"/>
              </w:rPr>
              <w:t>Уровень качества</w:t>
            </w:r>
          </w:p>
        </w:tc>
      </w:tr>
      <w:tr w:rsidR="004D58AA" w:rsidRPr="004D58AA" w:rsidTr="004D5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0,00034%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идеал</w:t>
            </w:r>
          </w:p>
        </w:tc>
      </w:tr>
      <w:tr w:rsidR="004D58AA" w:rsidRPr="004D58AA" w:rsidTr="004D5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5σ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233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0,023%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мировой уровень</w:t>
            </w:r>
          </w:p>
        </w:tc>
      </w:tr>
      <w:tr w:rsidR="004D58AA" w:rsidRPr="004D58AA" w:rsidTr="004D5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4σ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6210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0,62%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приемлемый уровень</w:t>
            </w:r>
          </w:p>
        </w:tc>
      </w:tr>
      <w:tr w:rsidR="004D58AA" w:rsidRPr="004D58AA" w:rsidTr="004D5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3σ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66 807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6,68%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недостаточный уровень</w:t>
            </w:r>
          </w:p>
        </w:tc>
      </w:tr>
      <w:tr w:rsidR="004D58AA" w:rsidRPr="004D58AA" w:rsidTr="004D5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2σ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308 537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30,9%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неприемлемый уровень</w:t>
            </w:r>
          </w:p>
        </w:tc>
      </w:tr>
      <w:tr w:rsidR="004D58AA" w:rsidRPr="004D58AA" w:rsidTr="004D5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1σ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691 462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69,1%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D58AA" w:rsidRDefault="004D58AA" w:rsidP="004D58AA">
      <w:pPr>
        <w:spacing w:before="120" w:after="120" w:line="240" w:lineRule="auto"/>
      </w:pPr>
      <w:r>
        <w:t>Для сравнения приведу таблицу для нормального распределения:</w:t>
      </w:r>
    </w:p>
    <w:tbl>
      <w:tblPr>
        <w:tblW w:w="8880" w:type="dxa"/>
        <w:tblInd w:w="98" w:type="dxa"/>
        <w:tblLook w:val="04A0"/>
      </w:tblPr>
      <w:tblGrid>
        <w:gridCol w:w="2260"/>
        <w:gridCol w:w="3360"/>
        <w:gridCol w:w="3260"/>
      </w:tblGrid>
      <w:tr w:rsidR="004D58AA" w:rsidRPr="004D58AA" w:rsidTr="004D58AA">
        <w:trPr>
          <w:trHeight w:val="6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Сигма окрестность среднего значения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b/>
                <w:bCs/>
                <w:lang w:eastAsia="ru-RU"/>
              </w:rPr>
              <w:t>Число случаем на миллион за пределами сигма окрестности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Процент случаев за пределами сигма окрестности</w:t>
            </w:r>
          </w:p>
        </w:tc>
      </w:tr>
      <w:tr w:rsidR="004D58AA" w:rsidRPr="004D58AA" w:rsidTr="004D58A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0,0000002%</w:t>
            </w:r>
          </w:p>
        </w:tc>
      </w:tr>
      <w:tr w:rsidR="004D58AA" w:rsidRPr="004D58AA" w:rsidTr="004D58A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5σ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0,00006%</w:t>
            </w:r>
          </w:p>
        </w:tc>
      </w:tr>
      <w:tr w:rsidR="004D58AA" w:rsidRPr="004D58AA" w:rsidTr="004D58A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4σ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0,01%</w:t>
            </w:r>
          </w:p>
        </w:tc>
      </w:tr>
      <w:tr w:rsidR="004D58AA" w:rsidRPr="004D58AA" w:rsidTr="004D58A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3σ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2 700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0,27%</w:t>
            </w:r>
          </w:p>
        </w:tc>
      </w:tr>
      <w:tr w:rsidR="004D58AA" w:rsidRPr="004D58AA" w:rsidTr="004D58A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2σ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45 500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4,6%</w:t>
            </w:r>
          </w:p>
        </w:tc>
      </w:tr>
      <w:tr w:rsidR="004D58AA" w:rsidRPr="004D58AA" w:rsidTr="004D58A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1σ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317 311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8AA" w:rsidRPr="004D58AA" w:rsidRDefault="004D58AA" w:rsidP="004D58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58AA">
              <w:rPr>
                <w:rFonts w:ascii="Calibri" w:eastAsia="Times New Roman" w:hAnsi="Calibri" w:cs="Times New Roman"/>
                <w:lang w:eastAsia="ru-RU"/>
              </w:rPr>
              <w:t>31,7%</w:t>
            </w:r>
          </w:p>
        </w:tc>
      </w:tr>
    </w:tbl>
    <w:p w:rsidR="004D58AA" w:rsidRDefault="004D58AA" w:rsidP="004D58AA">
      <w:pPr>
        <w:spacing w:before="120" w:after="120" w:line="240" w:lineRule="auto"/>
      </w:pPr>
    </w:p>
    <w:p w:rsidR="004D58AA" w:rsidRPr="00D44D9F" w:rsidRDefault="004D58AA" w:rsidP="003F5BB1">
      <w:pPr>
        <w:spacing w:after="120" w:line="240" w:lineRule="auto"/>
      </w:pPr>
    </w:p>
    <w:p w:rsidR="005A2EE7" w:rsidRPr="00C63777" w:rsidRDefault="005A2EE7" w:rsidP="0046633A">
      <w:pPr>
        <w:spacing w:after="120" w:line="240" w:lineRule="auto"/>
      </w:pPr>
    </w:p>
    <w:sectPr w:rsidR="005A2EE7" w:rsidRPr="00C63777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37"/>
  <w:drawingGridHorizontalSpacing w:val="110"/>
  <w:displayHorizontalDrawingGridEvery w:val="2"/>
  <w:characterSpacingControl w:val="doNotCompress"/>
  <w:compat/>
  <w:rsids>
    <w:rsidRoot w:val="00C63777"/>
    <w:rsid w:val="00003A34"/>
    <w:rsid w:val="000C20F5"/>
    <w:rsid w:val="000F3753"/>
    <w:rsid w:val="0010750B"/>
    <w:rsid w:val="00175132"/>
    <w:rsid w:val="001954FC"/>
    <w:rsid w:val="001B28C9"/>
    <w:rsid w:val="002829E2"/>
    <w:rsid w:val="002B5D02"/>
    <w:rsid w:val="002D37A9"/>
    <w:rsid w:val="002F41E2"/>
    <w:rsid w:val="0032653A"/>
    <w:rsid w:val="003F5BB1"/>
    <w:rsid w:val="0046381A"/>
    <w:rsid w:val="0046633A"/>
    <w:rsid w:val="00466B17"/>
    <w:rsid w:val="0047633A"/>
    <w:rsid w:val="004D58AA"/>
    <w:rsid w:val="0054695D"/>
    <w:rsid w:val="005A2EE7"/>
    <w:rsid w:val="005E4B74"/>
    <w:rsid w:val="00663CD0"/>
    <w:rsid w:val="00666BEB"/>
    <w:rsid w:val="006757BC"/>
    <w:rsid w:val="006E01EA"/>
    <w:rsid w:val="0073547F"/>
    <w:rsid w:val="009723B8"/>
    <w:rsid w:val="009A53B0"/>
    <w:rsid w:val="009B41EB"/>
    <w:rsid w:val="00A54916"/>
    <w:rsid w:val="00AB39DB"/>
    <w:rsid w:val="00BA7E31"/>
    <w:rsid w:val="00BD0EB6"/>
    <w:rsid w:val="00C55A31"/>
    <w:rsid w:val="00C63777"/>
    <w:rsid w:val="00C85DE8"/>
    <w:rsid w:val="00D44D9F"/>
    <w:rsid w:val="00F27A17"/>
    <w:rsid w:val="00F56539"/>
    <w:rsid w:val="00F8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663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8%D0%B5%D1%81%D1%82%D1%8C_%D1%81%D0%B8%D0%B3%D0%BC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aguzin.ru/wp/?p=23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8</cp:revision>
  <dcterms:created xsi:type="dcterms:W3CDTF">2011-04-06T09:37:00Z</dcterms:created>
  <dcterms:modified xsi:type="dcterms:W3CDTF">2011-04-09T06:15:00Z</dcterms:modified>
</cp:coreProperties>
</file>