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1F" w:rsidRDefault="00F12E1F" w:rsidP="001225A7">
      <w:pPr>
        <w:spacing w:after="240" w:line="240" w:lineRule="auto"/>
        <w:rPr>
          <w:b/>
          <w:sz w:val="28"/>
        </w:rPr>
      </w:pPr>
      <w:r w:rsidRPr="00F12E1F">
        <w:rPr>
          <w:b/>
          <w:sz w:val="28"/>
        </w:rPr>
        <w:t xml:space="preserve">Финансовый анализ </w:t>
      </w:r>
      <w:r w:rsidR="004D3E77">
        <w:rPr>
          <w:b/>
          <w:sz w:val="28"/>
        </w:rPr>
        <w:t>–</w:t>
      </w:r>
      <w:r w:rsidRPr="00F12E1F">
        <w:rPr>
          <w:b/>
          <w:sz w:val="28"/>
        </w:rPr>
        <w:t xml:space="preserve"> часть управления продуктом</w:t>
      </w:r>
    </w:p>
    <w:p w:rsidR="00646E1A" w:rsidRDefault="00F12E1F" w:rsidP="001225A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Настоящая заметка представляет собой конспект </w:t>
      </w:r>
      <w:r w:rsidR="004D3E77">
        <w:rPr>
          <w:rFonts w:eastAsia="Times New Roman" w:cs="Times New Roman"/>
          <w:color w:val="000000"/>
          <w:lang w:eastAsia="ru-RU"/>
        </w:rPr>
        <w:t xml:space="preserve">одноименной главы из </w:t>
      </w:r>
      <w:r>
        <w:rPr>
          <w:rFonts w:eastAsia="Times New Roman" w:cs="Times New Roman"/>
          <w:color w:val="000000"/>
          <w:lang w:eastAsia="ru-RU"/>
        </w:rPr>
        <w:t>книги Леманн Д., Винер Р.</w:t>
      </w:r>
      <w:r w:rsidRPr="00F12E1F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Управление продуктом. </w:t>
      </w:r>
      <w:r w:rsidRPr="00F12E1F">
        <w:rPr>
          <w:rFonts w:eastAsia="Times New Roman" w:cs="Times New Roman"/>
          <w:color w:val="000000"/>
          <w:lang w:eastAsia="ru-RU"/>
        </w:rPr>
        <w:t>Издательство: ЮНИТИ-ДАНА, 2008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F12E1F">
        <w:rPr>
          <w:rFonts w:eastAsia="Times New Roman" w:cs="Times New Roman"/>
          <w:color w:val="000000"/>
          <w:lang w:eastAsia="ru-RU"/>
        </w:rPr>
        <w:t>г.,</w:t>
      </w:r>
      <w:r>
        <w:rPr>
          <w:rFonts w:eastAsia="Times New Roman" w:cs="Times New Roman"/>
          <w:color w:val="000000"/>
          <w:lang w:eastAsia="ru-RU"/>
        </w:rPr>
        <w:t xml:space="preserve"> 720 с.</w:t>
      </w:r>
    </w:p>
    <w:p w:rsidR="00F12E1F" w:rsidRDefault="00F12E1F" w:rsidP="001225A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1685714" cy="2361905"/>
            <wp:effectExtent l="19050" t="0" r="0" b="0"/>
            <wp:docPr id="1" name="Рисунок 0" descr="Управление продуктом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вление продуктом Обложк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1F" w:rsidRDefault="004D3E77" w:rsidP="001225A7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современных условиях ведения бизнеса менеджеры по продукту должны также хорошо разбираться в финансах, как и в вопросах маркетинга. Несмотря на то, что в тактическом (краткосрочном) плане маркетинга может значиться, как</w:t>
      </w:r>
      <w:r w:rsidR="008B628D">
        <w:rPr>
          <w:rFonts w:eastAsia="Times New Roman" w:cs="Times New Roman"/>
          <w:color w:val="000000"/>
          <w:lang w:eastAsia="ru-RU"/>
        </w:rPr>
        <w:t xml:space="preserve"> рост прибыльности</w:t>
      </w:r>
      <w:r>
        <w:rPr>
          <w:rFonts w:eastAsia="Times New Roman" w:cs="Times New Roman"/>
          <w:color w:val="000000"/>
          <w:lang w:eastAsia="ru-RU"/>
        </w:rPr>
        <w:t xml:space="preserve">, так </w:t>
      </w:r>
      <w:r w:rsidR="008B628D">
        <w:rPr>
          <w:rFonts w:eastAsia="Times New Roman" w:cs="Times New Roman"/>
          <w:color w:val="000000"/>
          <w:lang w:eastAsia="ru-RU"/>
        </w:rPr>
        <w:t xml:space="preserve">и </w:t>
      </w:r>
      <w:r>
        <w:rPr>
          <w:rFonts w:eastAsia="Times New Roman" w:cs="Times New Roman"/>
          <w:color w:val="000000"/>
          <w:lang w:eastAsia="ru-RU"/>
        </w:rPr>
        <w:t>завоевание рынка</w:t>
      </w:r>
      <w:r w:rsidR="008B628D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8B628D">
        <w:rPr>
          <w:rFonts w:eastAsia="Times New Roman" w:cs="Times New Roman"/>
          <w:color w:val="000000"/>
          <w:lang w:eastAsia="ru-RU"/>
        </w:rPr>
        <w:t>к</w:t>
      </w:r>
      <w:r>
        <w:rPr>
          <w:rFonts w:eastAsia="Times New Roman" w:cs="Times New Roman"/>
          <w:color w:val="000000"/>
          <w:lang w:eastAsia="ru-RU"/>
        </w:rPr>
        <w:t>онечная цель любых маркетинговых</w:t>
      </w:r>
      <w:r w:rsidR="008B628D">
        <w:rPr>
          <w:rFonts w:eastAsia="Times New Roman" w:cs="Times New Roman"/>
          <w:color w:val="000000"/>
          <w:lang w:eastAsia="ru-RU"/>
        </w:rPr>
        <w:t xml:space="preserve"> мероприятие – получение прибыли.</w:t>
      </w:r>
    </w:p>
    <w:p w:rsidR="00B34D30" w:rsidRDefault="00B34D30" w:rsidP="00B34D30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При принятии решений в области маркетинга имеют значение два вида информации:</w:t>
      </w:r>
    </w:p>
    <w:p w:rsidR="00B34D30" w:rsidRDefault="00E72933" w:rsidP="00B34D30">
      <w:pPr>
        <w:pStyle w:val="a7"/>
        <w:numPr>
          <w:ilvl w:val="0"/>
          <w:numId w:val="8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</w:t>
      </w:r>
      <w:r w:rsidR="00B34D30">
        <w:rPr>
          <w:rFonts w:eastAsia="Times New Roman" w:cs="Times New Roman"/>
          <w:color w:val="000000"/>
          <w:lang w:eastAsia="ru-RU"/>
        </w:rPr>
        <w:t>ак формируется прибыльность</w:t>
      </w:r>
      <w:r w:rsidR="002E75F0">
        <w:rPr>
          <w:rFonts w:eastAsia="Times New Roman" w:cs="Times New Roman"/>
          <w:color w:val="000000"/>
          <w:lang w:eastAsia="ru-RU"/>
        </w:rPr>
        <w:t xml:space="preserve"> (анализ прибыльности)</w:t>
      </w:r>
    </w:p>
    <w:p w:rsidR="00B34D30" w:rsidRDefault="00E72933" w:rsidP="00B34D30">
      <w:pPr>
        <w:pStyle w:val="a7"/>
        <w:numPr>
          <w:ilvl w:val="0"/>
          <w:numId w:val="8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</w:t>
      </w:r>
      <w:r w:rsidR="00B34D30">
        <w:rPr>
          <w:rFonts w:eastAsia="Times New Roman" w:cs="Times New Roman"/>
          <w:color w:val="000000"/>
          <w:lang w:eastAsia="ru-RU"/>
        </w:rPr>
        <w:t>акой вклад в прибыльность вносят продукты в рамках продуктовой линейки</w:t>
      </w:r>
      <w:r w:rsidR="002E75F0">
        <w:rPr>
          <w:rFonts w:eastAsia="Times New Roman" w:cs="Times New Roman"/>
          <w:color w:val="000000"/>
          <w:lang w:eastAsia="ru-RU"/>
        </w:rPr>
        <w:t xml:space="preserve"> (анализ продаж)</w:t>
      </w:r>
    </w:p>
    <w:p w:rsidR="00B34D30" w:rsidRPr="00E72933" w:rsidRDefault="00E72933" w:rsidP="00E72933">
      <w:pPr>
        <w:spacing w:before="24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E72933">
        <w:rPr>
          <w:rFonts w:eastAsia="Times New Roman" w:cs="Times New Roman"/>
          <w:b/>
          <w:color w:val="000000"/>
          <w:lang w:eastAsia="ru-RU"/>
        </w:rPr>
        <w:t>Анализ продаж</w:t>
      </w:r>
    </w:p>
    <w:p w:rsidR="00E72933" w:rsidRDefault="00E72933" w:rsidP="00B34D3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Подобно айсбергу, на поверхности можно наблюдать итоговые агрегированные цифры. Чтобы не уподобиться Титанику, менеджер по продукту должен анализировать данные более детально.</w:t>
      </w:r>
      <w:r w:rsidR="002E75F0">
        <w:rPr>
          <w:rFonts w:eastAsia="Times New Roman" w:cs="Times New Roman"/>
          <w:color w:val="000000"/>
          <w:lang w:eastAsia="ru-RU"/>
        </w:rPr>
        <w:t xml:space="preserve"> Например, менеджер по продукту обнаружил, что за некий период времени выручка по продукту оказалась на </w:t>
      </w:r>
      <w:r w:rsidR="002E75F0" w:rsidRPr="002E75F0">
        <w:rPr>
          <w:rFonts w:eastAsia="Times New Roman" w:cs="Times New Roman"/>
          <w:color w:val="000000"/>
          <w:lang w:eastAsia="ru-RU"/>
        </w:rPr>
        <w:t xml:space="preserve">$ </w:t>
      </w:r>
      <w:r w:rsidR="002E75F0">
        <w:rPr>
          <w:rFonts w:eastAsia="Times New Roman" w:cs="Times New Roman"/>
          <w:color w:val="000000"/>
          <w:lang w:eastAsia="ru-RU"/>
        </w:rPr>
        <w:t>400 тыс. ниже плановой. Проведя анализ продаж по модификациям продукта, он обнаружил следующую картину:</w:t>
      </w:r>
    </w:p>
    <w:tbl>
      <w:tblPr>
        <w:tblStyle w:val="ab"/>
        <w:tblW w:w="0" w:type="auto"/>
        <w:tblLook w:val="04A0"/>
      </w:tblPr>
      <w:tblGrid>
        <w:gridCol w:w="1668"/>
        <w:gridCol w:w="2976"/>
        <w:gridCol w:w="2977"/>
      </w:tblGrid>
      <w:tr w:rsidR="002E75F0" w:rsidTr="002E75F0">
        <w:tc>
          <w:tcPr>
            <w:tcW w:w="1668" w:type="dxa"/>
          </w:tcPr>
          <w:p w:rsidR="002E75F0" w:rsidRDefault="002E75F0" w:rsidP="002E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Модификация продукта</w:t>
            </w:r>
          </w:p>
        </w:tc>
        <w:tc>
          <w:tcPr>
            <w:tcW w:w="2976" w:type="dxa"/>
          </w:tcPr>
          <w:p w:rsidR="002E75F0" w:rsidRDefault="002E75F0" w:rsidP="002E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Выручка от продаж </w:t>
            </w:r>
            <w:r w:rsidRPr="002E75F0">
              <w:rPr>
                <w:rFonts w:eastAsia="Times New Roman" w:cs="Times New Roman"/>
                <w:b/>
                <w:color w:val="000000"/>
                <w:lang w:eastAsia="ru-RU"/>
              </w:rPr>
              <w:t>выше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запланированной, тыс. долл.</w:t>
            </w:r>
          </w:p>
        </w:tc>
        <w:tc>
          <w:tcPr>
            <w:tcW w:w="2977" w:type="dxa"/>
          </w:tcPr>
          <w:p w:rsidR="002E75F0" w:rsidRDefault="002E75F0" w:rsidP="002E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Выручка от продаж </w:t>
            </w:r>
            <w:r w:rsidRPr="002E75F0">
              <w:rPr>
                <w:rFonts w:eastAsia="Times New Roman" w:cs="Times New Roman"/>
                <w:b/>
                <w:color w:val="000000"/>
                <w:lang w:eastAsia="ru-RU"/>
              </w:rPr>
              <w:t>ниже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запланированной, тыс. долл.</w:t>
            </w:r>
          </w:p>
        </w:tc>
      </w:tr>
      <w:tr w:rsidR="002E75F0" w:rsidTr="002E75F0">
        <w:tc>
          <w:tcPr>
            <w:tcW w:w="1668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977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E75F0" w:rsidTr="002E75F0">
        <w:tc>
          <w:tcPr>
            <w:tcW w:w="1668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977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E75F0" w:rsidTr="002E75F0">
        <w:tc>
          <w:tcPr>
            <w:tcW w:w="1668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E75F0" w:rsidTr="002E75F0">
        <w:tc>
          <w:tcPr>
            <w:tcW w:w="1668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780</w:t>
            </w:r>
          </w:p>
        </w:tc>
      </w:tr>
      <w:tr w:rsidR="002E75F0" w:rsidTr="002E75F0">
        <w:tc>
          <w:tcPr>
            <w:tcW w:w="1668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76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977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780</w:t>
            </w:r>
          </w:p>
        </w:tc>
      </w:tr>
    </w:tbl>
    <w:p w:rsidR="002E75F0" w:rsidRDefault="002E75F0" w:rsidP="002E75F0">
      <w:pPr>
        <w:spacing w:before="120"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То есть минус </w:t>
      </w:r>
      <w:r w:rsidRPr="002E75F0">
        <w:rPr>
          <w:rFonts w:eastAsia="Times New Roman" w:cs="Times New Roman"/>
          <w:color w:val="000000"/>
          <w:lang w:eastAsia="ru-RU"/>
        </w:rPr>
        <w:t xml:space="preserve">$ </w:t>
      </w:r>
      <w:r>
        <w:rPr>
          <w:rFonts w:eastAsia="Times New Roman" w:cs="Times New Roman"/>
          <w:color w:val="000000"/>
          <w:lang w:eastAsia="ru-RU"/>
        </w:rPr>
        <w:t>400 тыс. сложились из плюс 380 и минус 780. Анализ продаж 4-й модификации продукта по регионам выявил следующую картину:</w:t>
      </w:r>
    </w:p>
    <w:tbl>
      <w:tblPr>
        <w:tblStyle w:val="ab"/>
        <w:tblW w:w="0" w:type="auto"/>
        <w:tblLook w:val="04A0"/>
      </w:tblPr>
      <w:tblGrid>
        <w:gridCol w:w="1668"/>
        <w:gridCol w:w="2976"/>
        <w:gridCol w:w="2977"/>
      </w:tblGrid>
      <w:tr w:rsidR="002E75F0" w:rsidTr="002E75F0">
        <w:tc>
          <w:tcPr>
            <w:tcW w:w="1668" w:type="dxa"/>
          </w:tcPr>
          <w:p w:rsidR="002E75F0" w:rsidRDefault="002E75F0" w:rsidP="002E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976" w:type="dxa"/>
          </w:tcPr>
          <w:p w:rsidR="002E75F0" w:rsidRDefault="002E75F0" w:rsidP="002E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Выручка от продаж </w:t>
            </w:r>
            <w:r w:rsidRPr="002E75F0">
              <w:rPr>
                <w:rFonts w:eastAsia="Times New Roman" w:cs="Times New Roman"/>
                <w:b/>
                <w:color w:val="000000"/>
                <w:lang w:eastAsia="ru-RU"/>
              </w:rPr>
              <w:t>выше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запланированной, тыс. долл.</w:t>
            </w:r>
          </w:p>
        </w:tc>
        <w:tc>
          <w:tcPr>
            <w:tcW w:w="2977" w:type="dxa"/>
          </w:tcPr>
          <w:p w:rsidR="002E75F0" w:rsidRDefault="002E75F0" w:rsidP="002E75F0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Выручка от продаж </w:t>
            </w:r>
            <w:r w:rsidRPr="002E75F0">
              <w:rPr>
                <w:rFonts w:eastAsia="Times New Roman" w:cs="Times New Roman"/>
                <w:b/>
                <w:color w:val="000000"/>
                <w:lang w:eastAsia="ru-RU"/>
              </w:rPr>
              <w:t>ниже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запланированной, тыс. долл.</w:t>
            </w:r>
          </w:p>
        </w:tc>
      </w:tr>
      <w:tr w:rsidR="002E75F0" w:rsidTr="002E75F0">
        <w:tc>
          <w:tcPr>
            <w:tcW w:w="1668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Восток</w:t>
            </w:r>
          </w:p>
        </w:tc>
        <w:tc>
          <w:tcPr>
            <w:tcW w:w="2976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1200</w:t>
            </w:r>
          </w:p>
        </w:tc>
      </w:tr>
      <w:tr w:rsidR="002E75F0" w:rsidTr="002E75F0">
        <w:tc>
          <w:tcPr>
            <w:tcW w:w="1668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Центр</w:t>
            </w:r>
          </w:p>
        </w:tc>
        <w:tc>
          <w:tcPr>
            <w:tcW w:w="2976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977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E75F0" w:rsidTr="002E75F0">
        <w:tc>
          <w:tcPr>
            <w:tcW w:w="1668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Юг</w:t>
            </w:r>
          </w:p>
        </w:tc>
        <w:tc>
          <w:tcPr>
            <w:tcW w:w="2976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977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E75F0" w:rsidTr="002E75F0">
        <w:tc>
          <w:tcPr>
            <w:tcW w:w="1668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Запад</w:t>
            </w:r>
          </w:p>
        </w:tc>
        <w:tc>
          <w:tcPr>
            <w:tcW w:w="2976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7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2E75F0" w:rsidTr="002E75F0">
        <w:tc>
          <w:tcPr>
            <w:tcW w:w="1668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976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977" w:type="dxa"/>
          </w:tcPr>
          <w:p w:rsidR="002E75F0" w:rsidRDefault="002E75F0" w:rsidP="002E75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1200</w:t>
            </w:r>
          </w:p>
        </w:tc>
      </w:tr>
    </w:tbl>
    <w:p w:rsidR="002E75F0" w:rsidRDefault="002E75F0" w:rsidP="002E75F0">
      <w:pPr>
        <w:spacing w:before="120"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На основании детальной информации видно, что необходимо понять, почему на Востоке 4-я модификация продается плохо, и принять конкретные управленческие решения. Вы видите, что на основании </w:t>
      </w:r>
      <w:r w:rsidRPr="002E75F0">
        <w:rPr>
          <w:rFonts w:eastAsia="Times New Roman" w:cs="Times New Roman"/>
          <w:i/>
          <w:color w:val="000000"/>
          <w:lang w:eastAsia="ru-RU"/>
        </w:rPr>
        <w:t>только</w:t>
      </w:r>
      <w:r>
        <w:rPr>
          <w:rFonts w:eastAsia="Times New Roman" w:cs="Times New Roman"/>
          <w:color w:val="000000"/>
          <w:lang w:eastAsia="ru-RU"/>
        </w:rPr>
        <w:t xml:space="preserve"> общей информации о снижении продаж на </w:t>
      </w:r>
      <w:r w:rsidRPr="002E75F0">
        <w:rPr>
          <w:rFonts w:eastAsia="Times New Roman" w:cs="Times New Roman"/>
          <w:color w:val="000000"/>
          <w:lang w:eastAsia="ru-RU"/>
        </w:rPr>
        <w:t xml:space="preserve">$ </w:t>
      </w:r>
      <w:r>
        <w:rPr>
          <w:rFonts w:eastAsia="Times New Roman" w:cs="Times New Roman"/>
          <w:color w:val="000000"/>
          <w:lang w:eastAsia="ru-RU"/>
        </w:rPr>
        <w:t>400 тыс. принять грамотное решение невозможно…</w:t>
      </w:r>
    </w:p>
    <w:p w:rsidR="006F2818" w:rsidRDefault="006F2818" w:rsidP="006F2818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Почему менеджеры по продукту нечасто используют анализ продаж?</w:t>
      </w:r>
    </w:p>
    <w:p w:rsidR="006F2818" w:rsidRDefault="006F2818" w:rsidP="006F2818">
      <w:pPr>
        <w:pStyle w:val="a7"/>
        <w:numPr>
          <w:ilvl w:val="0"/>
          <w:numId w:val="9"/>
        </w:numPr>
        <w:spacing w:after="120" w:line="240" w:lineRule="auto"/>
        <w:ind w:left="714" w:hanging="357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Информационные системы могут быть не приспособлены к сбору информации в нужном разрезе.</w:t>
      </w:r>
    </w:p>
    <w:p w:rsidR="006F2818" w:rsidRDefault="006F2818" w:rsidP="006F2818">
      <w:pPr>
        <w:pStyle w:val="a7"/>
        <w:numPr>
          <w:ilvl w:val="0"/>
          <w:numId w:val="9"/>
        </w:numPr>
        <w:spacing w:before="120"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Работники бухгалтерии и финансов не имеют потребности в таком сборе первичной информации о продажах, а именно они часто формируют требования к информационным системам.</w:t>
      </w:r>
    </w:p>
    <w:p w:rsidR="006F2818" w:rsidRDefault="006F2818" w:rsidP="006F2818">
      <w:pPr>
        <w:pStyle w:val="a7"/>
        <w:numPr>
          <w:ilvl w:val="0"/>
          <w:numId w:val="9"/>
        </w:numPr>
        <w:spacing w:before="120"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Менеджеры по продукту сами не проводят анализ продаж, недостаточно внимания уделяя </w:t>
      </w:r>
      <w:r w:rsidRPr="006F2818">
        <w:rPr>
          <w:rFonts w:eastAsia="Times New Roman" w:cs="Times New Roman"/>
          <w:i/>
          <w:color w:val="000000"/>
          <w:lang w:eastAsia="ru-RU"/>
        </w:rPr>
        <w:t>внутреннему маркетингу.</w:t>
      </w:r>
    </w:p>
    <w:p w:rsidR="006F2818" w:rsidRPr="006F2818" w:rsidRDefault="006F2818" w:rsidP="006F2818">
      <w:pPr>
        <w:spacing w:before="24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6F2818">
        <w:rPr>
          <w:rFonts w:eastAsia="Times New Roman" w:cs="Times New Roman"/>
          <w:b/>
          <w:color w:val="000000"/>
          <w:lang w:eastAsia="ru-RU"/>
        </w:rPr>
        <w:t>Анализ прибыльности</w:t>
      </w:r>
    </w:p>
    <w:p w:rsidR="006F2818" w:rsidRDefault="00224A03" w:rsidP="006F281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FF75A2">
        <w:rPr>
          <w:rFonts w:eastAsia="Times New Roman" w:cs="Times New Roman"/>
          <w:i/>
          <w:color w:val="000000"/>
          <w:lang w:eastAsia="ru-RU"/>
        </w:rPr>
        <w:t xml:space="preserve">Традиционный метод </w:t>
      </w:r>
      <w:r>
        <w:rPr>
          <w:rFonts w:eastAsia="Times New Roman" w:cs="Times New Roman"/>
          <w:color w:val="000000"/>
          <w:lang w:eastAsia="ru-RU"/>
        </w:rPr>
        <w:t>расчета прибыльности продукта заключается в калькуляции полной себестоимости. В этом методе учета из объема продаж вычитаются прямые расходы и часть накладных расходов, отнесенных именно на этот продукт. Плюс такого подхода – гарантированное покрытие всех расходов компании из доходов от реализации продуктов. Минус – метод не позволяет принимать оперативные управленческие решения</w:t>
      </w:r>
      <w:r w:rsidR="00FF75A2">
        <w:rPr>
          <w:rFonts w:eastAsia="Times New Roman" w:cs="Times New Roman"/>
          <w:color w:val="000000"/>
          <w:lang w:eastAsia="ru-RU"/>
        </w:rPr>
        <w:t xml:space="preserve">. Типичный пример – закрытие, казалось </w:t>
      </w:r>
      <w:r w:rsidR="0025488A">
        <w:rPr>
          <w:rFonts w:eastAsia="Times New Roman" w:cs="Times New Roman"/>
          <w:color w:val="000000"/>
          <w:lang w:eastAsia="ru-RU"/>
        </w:rPr>
        <w:t>бы,</w:t>
      </w:r>
      <w:r w:rsidR="00FF75A2">
        <w:rPr>
          <w:rFonts w:eastAsia="Times New Roman" w:cs="Times New Roman"/>
          <w:color w:val="000000"/>
          <w:lang w:eastAsia="ru-RU"/>
        </w:rPr>
        <w:t xml:space="preserve"> убыточного продукта (направления) приводит к еще большим убыткам компании, так как накладные расходы не уменьшились, а только </w:t>
      </w:r>
      <w:r w:rsidR="0025488A">
        <w:rPr>
          <w:rFonts w:eastAsia="Times New Roman" w:cs="Times New Roman"/>
          <w:color w:val="000000"/>
          <w:lang w:eastAsia="ru-RU"/>
        </w:rPr>
        <w:t xml:space="preserve">перераспределились и </w:t>
      </w:r>
      <w:r w:rsidR="00FF75A2">
        <w:rPr>
          <w:rFonts w:eastAsia="Times New Roman" w:cs="Times New Roman"/>
          <w:color w:val="000000"/>
          <w:lang w:eastAsia="ru-RU"/>
        </w:rPr>
        <w:t>легли еще большим бременем на оставшиеся продукты.</w:t>
      </w:r>
      <w:r w:rsidR="0025488A">
        <w:rPr>
          <w:rFonts w:eastAsia="Times New Roman" w:cs="Times New Roman"/>
          <w:color w:val="000000"/>
          <w:lang w:eastAsia="ru-RU"/>
        </w:rPr>
        <w:t xml:space="preserve"> У калькуляции полной себестоимости еще и еще ряд недостатков: неочевидные правила разнесения накладных расходов, и отсутствие разделения факторов на те, которые находятся под контролем менеджера по продукту, и те, которые находятся за пределами его влияния (например, число служебных самолетов).</w:t>
      </w:r>
    </w:p>
    <w:p w:rsidR="0025488A" w:rsidRDefault="0025488A" w:rsidP="006F281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920AF">
        <w:rPr>
          <w:rFonts w:eastAsia="Times New Roman" w:cs="Times New Roman"/>
          <w:i/>
          <w:color w:val="000000"/>
          <w:lang w:eastAsia="ru-RU"/>
        </w:rPr>
        <w:t>Альтернативный метод</w:t>
      </w:r>
      <w:r>
        <w:rPr>
          <w:rFonts w:eastAsia="Times New Roman" w:cs="Times New Roman"/>
          <w:color w:val="000000"/>
          <w:lang w:eastAsia="ru-RU"/>
        </w:rPr>
        <w:t xml:space="preserve"> учета основан на вкладе каждого продукта в общую маржу</w:t>
      </w:r>
      <w:r w:rsidR="003920AF">
        <w:rPr>
          <w:rFonts w:eastAsia="Times New Roman" w:cs="Times New Roman"/>
          <w:color w:val="000000"/>
          <w:lang w:eastAsia="ru-RU"/>
        </w:rPr>
        <w:t xml:space="preserve">. В этом случае основное внимание уделяется статьям, которые находятся под контролем менеджера по продукту. По сути, вклад в маржу – </w:t>
      </w:r>
      <w:proofErr w:type="gramStart"/>
      <w:r w:rsidR="003920AF">
        <w:rPr>
          <w:rFonts w:eastAsia="Times New Roman" w:cs="Times New Roman"/>
          <w:color w:val="000000"/>
          <w:lang w:eastAsia="ru-RU"/>
        </w:rPr>
        <w:t>это то</w:t>
      </w:r>
      <w:proofErr w:type="gramEnd"/>
      <w:r w:rsidR="003920AF">
        <w:rPr>
          <w:rFonts w:eastAsia="Times New Roman" w:cs="Times New Roman"/>
          <w:color w:val="000000"/>
          <w:lang w:eastAsia="ru-RU"/>
        </w:rPr>
        <w:t xml:space="preserve"> количество денег, которое осталось после покрытия переменных издержек, и может быть направлено на покрытие постоянных издержек. Здесь ключевым является определение, какие расходы считать переменными.</w:t>
      </w:r>
      <w:r w:rsidR="00D35506">
        <w:rPr>
          <w:rFonts w:eastAsia="Times New Roman" w:cs="Times New Roman"/>
          <w:color w:val="000000"/>
          <w:lang w:eastAsia="ru-RU"/>
        </w:rPr>
        <w:t xml:space="preserve"> Как правило, это расходы на материалы, заработную плату</w:t>
      </w:r>
      <w:r w:rsidR="00D35506">
        <w:rPr>
          <w:rStyle w:val="a5"/>
          <w:rFonts w:eastAsia="Times New Roman" w:cs="Times New Roman"/>
          <w:color w:val="000000"/>
          <w:lang w:eastAsia="ru-RU"/>
        </w:rPr>
        <w:footnoteReference w:id="1"/>
      </w:r>
      <w:r w:rsidR="00A5646F">
        <w:rPr>
          <w:rFonts w:eastAsia="Times New Roman" w:cs="Times New Roman"/>
          <w:color w:val="000000"/>
          <w:lang w:eastAsia="ru-RU"/>
        </w:rPr>
        <w:t xml:space="preserve"> и иные расходы, которые растут пропорционально объему продаж.</w:t>
      </w:r>
    </w:p>
    <w:p w:rsidR="00A5646F" w:rsidRPr="00A5646F" w:rsidRDefault="00A5646F" w:rsidP="006F2818">
      <w:pPr>
        <w:spacing w:after="120" w:line="240" w:lineRule="auto"/>
        <w:rPr>
          <w:rFonts w:eastAsia="Times New Roman" w:cs="Times New Roman"/>
          <w:i/>
          <w:color w:val="000000"/>
          <w:lang w:eastAsia="ru-RU"/>
        </w:rPr>
      </w:pPr>
      <w:r w:rsidRPr="00A5646F">
        <w:rPr>
          <w:rFonts w:eastAsia="Times New Roman" w:cs="Times New Roman"/>
          <w:i/>
          <w:color w:val="000000"/>
          <w:lang w:eastAsia="ru-RU"/>
        </w:rPr>
        <w:t>Маржинальная прибыль = Объем продаж – Переменные издержки</w:t>
      </w:r>
    </w:p>
    <w:p w:rsidR="00A5646F" w:rsidRDefault="00A5646F" w:rsidP="006F2818">
      <w:pPr>
        <w:spacing w:after="120" w:line="240" w:lineRule="auto"/>
        <w:rPr>
          <w:rFonts w:eastAsia="Times New Roman" w:cs="Times New Roman"/>
          <w:i/>
          <w:color w:val="000000"/>
          <w:lang w:eastAsia="ru-RU"/>
        </w:rPr>
      </w:pPr>
      <w:r w:rsidRPr="00A5646F">
        <w:rPr>
          <w:rFonts w:eastAsia="Times New Roman" w:cs="Times New Roman"/>
          <w:i/>
          <w:color w:val="000000"/>
          <w:lang w:eastAsia="ru-RU"/>
        </w:rPr>
        <w:t>Безубыточный объем в единицах продукции = Постоянные издержки / Маржинальная прибыль от единицы продукции</w:t>
      </w:r>
    </w:p>
    <w:p w:rsidR="00A5646F" w:rsidRPr="00A5646F" w:rsidRDefault="00A5646F" w:rsidP="00A5646F">
      <w:pPr>
        <w:spacing w:after="120" w:line="240" w:lineRule="auto"/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t>Безубыточный о</w:t>
      </w:r>
      <w:r w:rsidRPr="00A5646F">
        <w:rPr>
          <w:rFonts w:eastAsia="Times New Roman" w:cs="Times New Roman"/>
          <w:i/>
          <w:color w:val="000000"/>
          <w:lang w:eastAsia="ru-RU"/>
        </w:rPr>
        <w:t>бъем</w:t>
      </w:r>
      <w:r>
        <w:rPr>
          <w:rFonts w:eastAsia="Times New Roman" w:cs="Times New Roman"/>
          <w:i/>
          <w:color w:val="000000"/>
          <w:lang w:eastAsia="ru-RU"/>
        </w:rPr>
        <w:t xml:space="preserve"> продаж (долл.)</w:t>
      </w:r>
      <w:r w:rsidRPr="00A5646F">
        <w:rPr>
          <w:rFonts w:eastAsia="Times New Roman" w:cs="Times New Roman"/>
          <w:i/>
          <w:color w:val="000000"/>
          <w:lang w:eastAsia="ru-RU"/>
        </w:rPr>
        <w:t xml:space="preserve"> = Постоянные издержки / </w:t>
      </w:r>
      <w:r>
        <w:rPr>
          <w:rFonts w:eastAsia="Times New Roman" w:cs="Times New Roman"/>
          <w:i/>
          <w:color w:val="000000"/>
          <w:lang w:eastAsia="ru-RU"/>
        </w:rPr>
        <w:t>Норма маржинальной прибыл</w:t>
      </w:r>
      <w:r w:rsidR="00BF4560">
        <w:rPr>
          <w:rFonts w:eastAsia="Times New Roman" w:cs="Times New Roman"/>
          <w:i/>
          <w:color w:val="000000"/>
          <w:lang w:eastAsia="ru-RU"/>
        </w:rPr>
        <w:t>и</w:t>
      </w:r>
      <w:proofErr w:type="gramStart"/>
      <w:r w:rsidR="00BF4560">
        <w:rPr>
          <w:rFonts w:eastAsia="Times New Roman" w:cs="Times New Roman"/>
          <w:i/>
          <w:color w:val="000000"/>
          <w:lang w:eastAsia="ru-RU"/>
        </w:rPr>
        <w:t xml:space="preserve"> (</w:t>
      </w:r>
      <w:r>
        <w:rPr>
          <w:rFonts w:eastAsia="Times New Roman" w:cs="Times New Roman"/>
          <w:i/>
          <w:color w:val="000000"/>
          <w:lang w:eastAsia="ru-RU"/>
        </w:rPr>
        <w:t>%)</w:t>
      </w:r>
      <w:proofErr w:type="gramEnd"/>
    </w:p>
    <w:p w:rsidR="00A5646F" w:rsidRDefault="00215D3D" w:rsidP="00215D3D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15D3D">
        <w:rPr>
          <w:rFonts w:eastAsia="Times New Roman" w:cs="Times New Roman"/>
          <w:color w:val="000000"/>
          <w:lang w:eastAsia="ru-RU"/>
        </w:rPr>
        <w:t>У продуктов с разными долями</w:t>
      </w:r>
      <w:r>
        <w:rPr>
          <w:rFonts w:eastAsia="Times New Roman" w:cs="Times New Roman"/>
          <w:color w:val="000000"/>
          <w:lang w:eastAsia="ru-RU"/>
        </w:rPr>
        <w:t xml:space="preserve"> переменной составляющей в марже – разные стратегические задачи:</w:t>
      </w:r>
    </w:p>
    <w:p w:rsidR="00215D3D" w:rsidRDefault="00215D3D" w:rsidP="00215D3D">
      <w:pPr>
        <w:pStyle w:val="a7"/>
        <w:numPr>
          <w:ilvl w:val="0"/>
          <w:numId w:val="10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Когда переменные издержки высокие, важно сохранять высокие цены, так как прибыль приносит каждая проданная единица</w:t>
      </w:r>
      <w:r w:rsidR="0088421E">
        <w:rPr>
          <w:rFonts w:eastAsia="Times New Roman" w:cs="Times New Roman"/>
          <w:color w:val="000000"/>
          <w:lang w:eastAsia="ru-RU"/>
        </w:rPr>
        <w:t>.</w:t>
      </w:r>
    </w:p>
    <w:p w:rsidR="00215D3D" w:rsidRDefault="00215D3D" w:rsidP="00215D3D">
      <w:pPr>
        <w:pStyle w:val="a7"/>
        <w:numPr>
          <w:ilvl w:val="0"/>
          <w:numId w:val="10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Когда переменные издержки низкие, решающую роль играет объем продаж, поскольку за счет него получают маржу, необходимую для покрытия постоянных издержек.</w:t>
      </w:r>
    </w:p>
    <w:p w:rsidR="00496AF2" w:rsidRDefault="007765C4" w:rsidP="007765C4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Постоянные расходы могут быть разделены на прямые, подконтрольные менеджеру по продукту, например, расходы на рекламу, маркетинг, разработку продукта, и косвенные, находящиеся за пределами влияния менеджера по продукту.</w:t>
      </w:r>
    </w:p>
    <w:p w:rsidR="007765C4" w:rsidRDefault="00496AF2" w:rsidP="007765C4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496AF2">
        <w:rPr>
          <w:rFonts w:eastAsia="Times New Roman" w:cs="Times New Roman"/>
          <w:b/>
          <w:color w:val="000000"/>
          <w:lang w:eastAsia="ru-RU"/>
        </w:rPr>
        <w:t>Анализ отклонений</w:t>
      </w:r>
      <w:r>
        <w:rPr>
          <w:rFonts w:eastAsia="Times New Roman" w:cs="Times New Roman"/>
          <w:color w:val="000000"/>
          <w:lang w:eastAsia="ru-RU"/>
        </w:rPr>
        <w:t xml:space="preserve"> – сравнение плановых и фактических показателей с целью определения факторов, оказавших влияние на результат.</w:t>
      </w:r>
    </w:p>
    <w:p w:rsidR="00496AF2" w:rsidRPr="00496AF2" w:rsidRDefault="00496AF2" w:rsidP="00496AF2">
      <w:pPr>
        <w:spacing w:before="24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496AF2">
        <w:rPr>
          <w:rFonts w:eastAsia="Times New Roman" w:cs="Times New Roman"/>
          <w:b/>
          <w:color w:val="000000"/>
          <w:lang w:eastAsia="ru-RU"/>
        </w:rPr>
        <w:t>Бюджет капитальных вложений</w:t>
      </w:r>
    </w:p>
    <w:p w:rsidR="00496AF2" w:rsidRDefault="005E4731" w:rsidP="007765C4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Маркетолог</w:t>
      </w:r>
      <w:proofErr w:type="spellEnd"/>
      <w:r>
        <w:rPr>
          <w:rFonts w:eastAsia="Times New Roman" w:cs="Times New Roman"/>
          <w:color w:val="000000"/>
          <w:lang w:eastAsia="ru-RU"/>
        </w:rPr>
        <w:t>: «Этот продукт откроет для нас совершенно новый сегмент рынка». Финансист: «Это неудачная инвестиция. Внутренняя норма прибыли (</w:t>
      </w:r>
      <w:r>
        <w:rPr>
          <w:rFonts w:eastAsia="Times New Roman" w:cs="Times New Roman"/>
          <w:color w:val="000000"/>
          <w:lang w:val="en-US" w:eastAsia="ru-RU"/>
        </w:rPr>
        <w:t>IRR</w:t>
      </w:r>
      <w:r>
        <w:rPr>
          <w:rFonts w:eastAsia="Times New Roman" w:cs="Times New Roman"/>
          <w:color w:val="000000"/>
          <w:lang w:eastAsia="ru-RU"/>
        </w:rPr>
        <w:t>) всего 8%».</w:t>
      </w:r>
    </w:p>
    <w:p w:rsidR="005E4731" w:rsidRDefault="005E4731" w:rsidP="007765C4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Критерии оценки инвестиционной привлекательности: </w:t>
      </w:r>
      <w:proofErr w:type="gramStart"/>
      <w:r>
        <w:rPr>
          <w:rFonts w:eastAsia="Times New Roman" w:cs="Times New Roman"/>
          <w:color w:val="000000"/>
          <w:lang w:val="en-US" w:eastAsia="ru-RU"/>
        </w:rPr>
        <w:t>IRR</w:t>
      </w:r>
      <w:r>
        <w:rPr>
          <w:rFonts w:eastAsia="Times New Roman" w:cs="Times New Roman"/>
          <w:color w:val="000000"/>
          <w:lang w:eastAsia="ru-RU"/>
        </w:rPr>
        <w:t>, приведенная стоимость (</w:t>
      </w:r>
      <w:r>
        <w:rPr>
          <w:rFonts w:eastAsia="Times New Roman" w:cs="Times New Roman"/>
          <w:color w:val="000000"/>
          <w:lang w:val="en-US" w:eastAsia="ru-RU"/>
        </w:rPr>
        <w:t>NPV</w:t>
      </w:r>
      <w:r>
        <w:rPr>
          <w:rFonts w:eastAsia="Times New Roman" w:cs="Times New Roman"/>
          <w:color w:val="000000"/>
          <w:lang w:eastAsia="ru-RU"/>
        </w:rPr>
        <w:t xml:space="preserve">), экономическая добавленная стоимость </w:t>
      </w:r>
      <w:r w:rsidRPr="005E4731">
        <w:rPr>
          <w:rFonts w:eastAsia="Times New Roman" w:cs="Times New Roman"/>
          <w:color w:val="000000"/>
          <w:lang w:eastAsia="ru-RU"/>
        </w:rPr>
        <w:t>(</w:t>
      </w:r>
      <w:r>
        <w:rPr>
          <w:rFonts w:eastAsia="Times New Roman" w:cs="Times New Roman"/>
          <w:color w:val="000000"/>
          <w:lang w:val="en-US" w:eastAsia="ru-RU"/>
        </w:rPr>
        <w:t>EVA</w:t>
      </w:r>
      <w:r w:rsidRPr="005E4731">
        <w:rPr>
          <w:rFonts w:eastAsia="Times New Roman" w:cs="Times New Roman"/>
          <w:color w:val="000000"/>
          <w:lang w:eastAsia="ru-RU"/>
        </w:rPr>
        <w:t>)</w:t>
      </w:r>
      <w:r>
        <w:rPr>
          <w:rFonts w:eastAsia="Times New Roman" w:cs="Times New Roman"/>
          <w:color w:val="000000"/>
          <w:lang w:eastAsia="ru-RU"/>
        </w:rPr>
        <w:t>.</w:t>
      </w:r>
      <w:proofErr w:type="gramEnd"/>
    </w:p>
    <w:p w:rsidR="007175D3" w:rsidRDefault="007175D3" w:rsidP="007765C4">
      <w:pPr>
        <w:spacing w:after="120" w:line="240" w:lineRule="auto"/>
        <w:rPr>
          <w:rFonts w:eastAsia="Times New Roman" w:cs="Times New Roman"/>
          <w:i/>
          <w:color w:val="000000"/>
          <w:lang w:eastAsia="ru-RU"/>
        </w:rPr>
      </w:pPr>
      <w:r w:rsidRPr="007175D3">
        <w:rPr>
          <w:rFonts w:eastAsia="Times New Roman" w:cs="Times New Roman"/>
          <w:i/>
          <w:color w:val="000000"/>
          <w:lang w:val="en-US" w:eastAsia="ru-RU"/>
        </w:rPr>
        <w:lastRenderedPageBreak/>
        <w:t>EVA</w:t>
      </w:r>
      <w:r w:rsidRPr="007175D3">
        <w:rPr>
          <w:rFonts w:eastAsia="Times New Roman" w:cs="Times New Roman"/>
          <w:i/>
          <w:color w:val="000000"/>
          <w:lang w:eastAsia="ru-RU"/>
        </w:rPr>
        <w:t xml:space="preserve"> = Доход от операций после уплаты всех налогов – (Инвестиции в активы * Средневзвешенные затраты на капитал)</w:t>
      </w:r>
    </w:p>
    <w:p w:rsidR="007175D3" w:rsidRDefault="007175D3" w:rsidP="007765C4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7175D3">
        <w:rPr>
          <w:rFonts w:eastAsia="Times New Roman" w:cs="Times New Roman"/>
          <w:color w:val="000000"/>
          <w:lang w:eastAsia="ru-RU"/>
        </w:rPr>
        <w:t xml:space="preserve">Если </w:t>
      </w:r>
      <w:r w:rsidRPr="007175D3">
        <w:rPr>
          <w:rFonts w:eastAsia="Times New Roman" w:cs="Times New Roman"/>
          <w:color w:val="000000"/>
          <w:lang w:val="en-US" w:eastAsia="ru-RU"/>
        </w:rPr>
        <w:t>EVA</w:t>
      </w:r>
      <w:r w:rsidRPr="007175D3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больше нуля, значит доход компании от основной деятельности (после уплаты всех налогов) выше стоимости активов, использованных для получения этого дохода.</w:t>
      </w:r>
    </w:p>
    <w:p w:rsidR="007175D3" w:rsidRPr="007175D3" w:rsidRDefault="007175D3" w:rsidP="007175D3">
      <w:pPr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7175D3">
        <w:rPr>
          <w:rFonts w:eastAsia="Times New Roman" w:cs="Times New Roman"/>
          <w:b/>
          <w:color w:val="000000"/>
          <w:lang w:eastAsia="ru-RU"/>
        </w:rPr>
        <w:t>Несколько рекомендаций менеджерам по продукту для оценки инвестиций:</w:t>
      </w:r>
    </w:p>
    <w:p w:rsidR="007175D3" w:rsidRPr="007175D3" w:rsidRDefault="007175D3" w:rsidP="007175D3">
      <w:pPr>
        <w:pStyle w:val="a7"/>
        <w:numPr>
          <w:ilvl w:val="0"/>
          <w:numId w:val="1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7175D3">
        <w:rPr>
          <w:rFonts w:eastAsia="Times New Roman" w:cs="Times New Roman"/>
          <w:i/>
          <w:color w:val="000000"/>
          <w:lang w:eastAsia="ru-RU"/>
        </w:rPr>
        <w:t xml:space="preserve">Используйте правильную базу для оценки. </w:t>
      </w:r>
    </w:p>
    <w:p w:rsidR="007175D3" w:rsidRDefault="007175D3" w:rsidP="007175D3">
      <w:pPr>
        <w:pStyle w:val="a7"/>
        <w:numPr>
          <w:ilvl w:val="1"/>
          <w:numId w:val="1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Вывод новых продуктов может сократить объем продаж существующих продуктов.</w:t>
      </w:r>
    </w:p>
    <w:p w:rsidR="007175D3" w:rsidRDefault="007175D3" w:rsidP="007175D3">
      <w:pPr>
        <w:pStyle w:val="a7"/>
        <w:numPr>
          <w:ilvl w:val="1"/>
          <w:numId w:val="1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Расходы на рекламу превысят доходы от продаж, но без таких расходов, объем продаж мог сократиться катастрофически.</w:t>
      </w:r>
    </w:p>
    <w:p w:rsidR="007175D3" w:rsidRDefault="007175D3" w:rsidP="007175D3">
      <w:pPr>
        <w:pStyle w:val="a7"/>
        <w:numPr>
          <w:ilvl w:val="0"/>
          <w:numId w:val="11"/>
        </w:numPr>
        <w:spacing w:after="120" w:line="240" w:lineRule="auto"/>
        <w:rPr>
          <w:rFonts w:eastAsia="Times New Roman" w:cs="Times New Roman"/>
          <w:i/>
          <w:color w:val="000000"/>
          <w:lang w:eastAsia="ru-RU"/>
        </w:rPr>
      </w:pPr>
      <w:r w:rsidRPr="007175D3">
        <w:rPr>
          <w:rFonts w:eastAsia="Times New Roman" w:cs="Times New Roman"/>
          <w:i/>
          <w:color w:val="000000"/>
          <w:lang w:eastAsia="ru-RU"/>
        </w:rPr>
        <w:t>Выбирайте правильную продолжительность реализации проекта.</w:t>
      </w:r>
    </w:p>
    <w:p w:rsidR="007175D3" w:rsidRDefault="007175D3" w:rsidP="007175D3">
      <w:pPr>
        <w:pStyle w:val="a7"/>
        <w:numPr>
          <w:ilvl w:val="0"/>
          <w:numId w:val="11"/>
        </w:numPr>
        <w:spacing w:after="120" w:line="240" w:lineRule="auto"/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t>Учитывайте иные выгоды, обеспечиваемые инвестициями.</w:t>
      </w:r>
    </w:p>
    <w:sectPr w:rsidR="007175D3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D3" w:rsidRDefault="007175D3" w:rsidP="00E35D42">
      <w:pPr>
        <w:spacing w:after="0" w:line="240" w:lineRule="auto"/>
      </w:pPr>
      <w:r>
        <w:separator/>
      </w:r>
    </w:p>
  </w:endnote>
  <w:endnote w:type="continuationSeparator" w:id="0">
    <w:p w:rsidR="007175D3" w:rsidRDefault="007175D3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D3" w:rsidRDefault="007175D3" w:rsidP="00E35D42">
      <w:pPr>
        <w:spacing w:after="0" w:line="240" w:lineRule="auto"/>
      </w:pPr>
      <w:r>
        <w:separator/>
      </w:r>
    </w:p>
  </w:footnote>
  <w:footnote w:type="continuationSeparator" w:id="0">
    <w:p w:rsidR="007175D3" w:rsidRDefault="007175D3" w:rsidP="00E35D42">
      <w:pPr>
        <w:spacing w:after="0" w:line="240" w:lineRule="auto"/>
      </w:pPr>
      <w:r>
        <w:continuationSeparator/>
      </w:r>
    </w:p>
  </w:footnote>
  <w:footnote w:id="1">
    <w:p w:rsidR="007175D3" w:rsidRDefault="007175D3">
      <w:pPr>
        <w:pStyle w:val="a3"/>
      </w:pPr>
      <w:r>
        <w:rPr>
          <w:rStyle w:val="a5"/>
        </w:rPr>
        <w:footnoteRef/>
      </w:r>
      <w:r>
        <w:t xml:space="preserve"> Отнесение заработной платы к переменным издержкам не всегда оправдано. Задайте простой вопрос: «следует ли сократить заработную плату менеджеру по продукту, если уменьшится его продуктовый портфель?». </w:t>
      </w:r>
      <w:hyperlink r:id="rId1" w:history="1">
        <w:r w:rsidRPr="00A5646F">
          <w:rPr>
            <w:rStyle w:val="a6"/>
          </w:rPr>
          <w:t>Учет на основании теории ограничений</w:t>
        </w:r>
      </w:hyperlink>
      <w:r>
        <w:t xml:space="preserve"> подходит к этому вопросу радикально: заработная плата не включается в переменные издержки.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23E"/>
    <w:multiLevelType w:val="hybridMultilevel"/>
    <w:tmpl w:val="7936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078B1"/>
    <w:multiLevelType w:val="hybridMultilevel"/>
    <w:tmpl w:val="D11A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E6B04"/>
    <w:multiLevelType w:val="hybridMultilevel"/>
    <w:tmpl w:val="B0C6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55"/>
    <w:rsid w:val="00063537"/>
    <w:rsid w:val="000E58E3"/>
    <w:rsid w:val="001225A7"/>
    <w:rsid w:val="001258E5"/>
    <w:rsid w:val="001473F1"/>
    <w:rsid w:val="001A18C8"/>
    <w:rsid w:val="001D11D7"/>
    <w:rsid w:val="001E49D5"/>
    <w:rsid w:val="00215D3D"/>
    <w:rsid w:val="00224A03"/>
    <w:rsid w:val="0025488A"/>
    <w:rsid w:val="00265773"/>
    <w:rsid w:val="002C0B37"/>
    <w:rsid w:val="002E75F0"/>
    <w:rsid w:val="0031672C"/>
    <w:rsid w:val="0035121A"/>
    <w:rsid w:val="003920AF"/>
    <w:rsid w:val="003A1279"/>
    <w:rsid w:val="003A543B"/>
    <w:rsid w:val="003A7EBF"/>
    <w:rsid w:val="00496AF2"/>
    <w:rsid w:val="0049749C"/>
    <w:rsid w:val="004C51D0"/>
    <w:rsid w:val="004D3E77"/>
    <w:rsid w:val="004F766E"/>
    <w:rsid w:val="00502300"/>
    <w:rsid w:val="0055126D"/>
    <w:rsid w:val="00577BAE"/>
    <w:rsid w:val="005A7883"/>
    <w:rsid w:val="005B078C"/>
    <w:rsid w:val="005E4731"/>
    <w:rsid w:val="006111E5"/>
    <w:rsid w:val="00625734"/>
    <w:rsid w:val="006267B0"/>
    <w:rsid w:val="00646E1A"/>
    <w:rsid w:val="006665FF"/>
    <w:rsid w:val="0068052B"/>
    <w:rsid w:val="00686484"/>
    <w:rsid w:val="0069024E"/>
    <w:rsid w:val="006A3A3E"/>
    <w:rsid w:val="006A5444"/>
    <w:rsid w:val="006C4D70"/>
    <w:rsid w:val="006F2818"/>
    <w:rsid w:val="007175D3"/>
    <w:rsid w:val="00722658"/>
    <w:rsid w:val="007765C4"/>
    <w:rsid w:val="007941D5"/>
    <w:rsid w:val="007972FB"/>
    <w:rsid w:val="007E510C"/>
    <w:rsid w:val="0088421E"/>
    <w:rsid w:val="008B628D"/>
    <w:rsid w:val="00930C35"/>
    <w:rsid w:val="009426A1"/>
    <w:rsid w:val="00997331"/>
    <w:rsid w:val="009C23B2"/>
    <w:rsid w:val="009E66C6"/>
    <w:rsid w:val="009F71DA"/>
    <w:rsid w:val="00A115CA"/>
    <w:rsid w:val="00A5646F"/>
    <w:rsid w:val="00A6166C"/>
    <w:rsid w:val="00A62835"/>
    <w:rsid w:val="00A934F7"/>
    <w:rsid w:val="00AA7FCD"/>
    <w:rsid w:val="00AE1C5D"/>
    <w:rsid w:val="00AE5E7D"/>
    <w:rsid w:val="00B108AF"/>
    <w:rsid w:val="00B34D30"/>
    <w:rsid w:val="00B702E1"/>
    <w:rsid w:val="00B7069C"/>
    <w:rsid w:val="00B80843"/>
    <w:rsid w:val="00BA2E07"/>
    <w:rsid w:val="00BE7470"/>
    <w:rsid w:val="00BF4560"/>
    <w:rsid w:val="00C45975"/>
    <w:rsid w:val="00C7241D"/>
    <w:rsid w:val="00C848F5"/>
    <w:rsid w:val="00CC3A55"/>
    <w:rsid w:val="00CC57F1"/>
    <w:rsid w:val="00CD7AE1"/>
    <w:rsid w:val="00CE4F0B"/>
    <w:rsid w:val="00CF42E3"/>
    <w:rsid w:val="00D25E8D"/>
    <w:rsid w:val="00D35506"/>
    <w:rsid w:val="00DA42FD"/>
    <w:rsid w:val="00E35D42"/>
    <w:rsid w:val="00E43386"/>
    <w:rsid w:val="00E72933"/>
    <w:rsid w:val="00E96A23"/>
    <w:rsid w:val="00ED6FB4"/>
    <w:rsid w:val="00F12E1F"/>
    <w:rsid w:val="00F94DBC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E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5952-A11C-4FEE-8D8E-B91D6AE2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Багузина</cp:lastModifiedBy>
  <cp:revision>17</cp:revision>
  <dcterms:created xsi:type="dcterms:W3CDTF">2011-04-10T06:32:00Z</dcterms:created>
  <dcterms:modified xsi:type="dcterms:W3CDTF">2011-04-10T09:07:00Z</dcterms:modified>
</cp:coreProperties>
</file>