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5B" w:rsidRPr="000D478A" w:rsidRDefault="005F735B" w:rsidP="000D478A">
      <w:pPr>
        <w:spacing w:after="240" w:line="240" w:lineRule="auto"/>
        <w:rPr>
          <w:b/>
          <w:sz w:val="28"/>
        </w:rPr>
      </w:pPr>
      <w:r w:rsidRPr="000D478A">
        <w:rPr>
          <w:b/>
          <w:sz w:val="28"/>
        </w:rPr>
        <w:t xml:space="preserve">Представление </w:t>
      </w:r>
      <w:r w:rsidR="00D35019">
        <w:rPr>
          <w:b/>
          <w:sz w:val="28"/>
        </w:rPr>
        <w:t>категорийных</w:t>
      </w:r>
      <w:r w:rsidRPr="000D478A">
        <w:rPr>
          <w:b/>
          <w:sz w:val="28"/>
        </w:rPr>
        <w:t xml:space="preserve"> данных в виде таблиц</w:t>
      </w:r>
      <w:r w:rsidR="0042584C" w:rsidRPr="000D478A">
        <w:rPr>
          <w:b/>
          <w:sz w:val="28"/>
        </w:rPr>
        <w:t xml:space="preserve"> и диаграмм</w:t>
      </w:r>
    </w:p>
    <w:p w:rsidR="007E7AC2" w:rsidRPr="007E7AC2" w:rsidRDefault="00700637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предыдущей заметке </w:t>
      </w:r>
      <w:r w:rsidR="007E7AC2"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таблицы и диаграммы применялись для представления </w:t>
      </w:r>
      <w:hyperlink r:id="rId8" w:history="1">
        <w:r w:rsidR="007E7AC2" w:rsidRPr="00700637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числовых данных</w:t>
        </w:r>
      </w:hyperlink>
      <w:r w:rsidR="007E7AC2"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. Однако часто данные носят не числовой, а категориальный характер. В это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й</w:t>
      </w:r>
      <w:r w:rsidR="007E7AC2"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заметке</w:t>
      </w:r>
      <w:r w:rsidR="007E7AC2"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изучаются способы организации и представления категорийных данных в виде таблиц и диаграмм.</w:t>
      </w:r>
      <w:r w:rsidRPr="008C5C03">
        <w:rPr>
          <w:rStyle w:val="ab"/>
          <w:rFonts w:asciiTheme="minorHAnsi" w:hAnsiTheme="minorHAnsi"/>
        </w:rPr>
        <w:footnoteReference w:id="1"/>
      </w:r>
    </w:p>
    <w:p w:rsidR="007E7AC2" w:rsidRPr="007E7AC2" w:rsidRDefault="007E7AC2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Вернемся к анализу доходности взаимных фондов. Кроме среднегодовой доходности фонд</w:t>
      </w:r>
      <w:r w:rsidR="00700637">
        <w:rPr>
          <w:rFonts w:asciiTheme="minorHAnsi" w:eastAsiaTheme="minorHAnsi" w:hAnsiTheme="minorHAnsi" w:cstheme="minorBidi"/>
          <w:sz w:val="22"/>
          <w:szCs w:val="22"/>
          <w:lang w:eastAsia="en-US"/>
        </w:rPr>
        <w:t>ы характеризуются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риск</w:t>
      </w:r>
      <w:r w:rsidR="00700637">
        <w:rPr>
          <w:rFonts w:asciiTheme="minorHAnsi" w:eastAsiaTheme="minorHAnsi" w:hAnsiTheme="minorHAnsi" w:cstheme="minorBidi"/>
          <w:sz w:val="22"/>
          <w:szCs w:val="22"/>
          <w:lang w:eastAsia="en-US"/>
        </w:rPr>
        <w:t>ом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связанном с инвестированием в эти фонды. Взаимные фонды могут иметь очень низкий, низкий, средний, высокий и очень высокий риск. При работе с </w:t>
      </w:r>
      <w:proofErr w:type="spellStart"/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категорийными</w:t>
      </w:r>
      <w:proofErr w:type="spellEnd"/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переменными данные сначала заносятся в сводную таблицу, а затем графически представляются в виде гистограмм, круговы</w:t>
      </w:r>
      <w:r w:rsidR="00700637">
        <w:rPr>
          <w:rFonts w:asciiTheme="minorHAnsi" w:eastAsiaTheme="minorHAnsi" w:hAnsiTheme="minorHAnsi" w:cstheme="minorBidi"/>
          <w:sz w:val="22"/>
          <w:szCs w:val="22"/>
          <w:lang w:eastAsia="en-US"/>
        </w:rPr>
        <w:t>х диаграмм или диаграмм Парето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7AC2" w:rsidRPr="00700637" w:rsidRDefault="007E7AC2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006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Сводная таблица</w:t>
      </w:r>
    </w:p>
    <w:p w:rsidR="007E7AC2" w:rsidRDefault="007E7AC2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По внешнему виду сводная таблица</w:t>
      </w:r>
      <w:r w:rsidR="007006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категорийных данных на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поминает распределение частот для числовых данных. Чтобы проиллюстрировать процесс ее построения, рассмотрим данные о классификации взаимных фондов по уровню риска</w:t>
      </w:r>
      <w:r w:rsidR="007006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(рис. 1).</w:t>
      </w:r>
    </w:p>
    <w:p w:rsidR="00700637" w:rsidRDefault="00700637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625795" cy="12816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. Уровень риска 259 взаимных фондов. Частоты и процентные дол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243" cy="12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637" w:rsidRPr="007E7AC2" w:rsidRDefault="00700637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Рис. 1. </w:t>
      </w:r>
      <w:r w:rsidRPr="00700637">
        <w:rPr>
          <w:rFonts w:asciiTheme="minorHAnsi" w:eastAsiaTheme="minorHAnsi" w:hAnsiTheme="minorHAnsi" w:cstheme="minorBidi"/>
          <w:sz w:val="22"/>
          <w:szCs w:val="22"/>
          <w:lang w:eastAsia="en-US"/>
        </w:rPr>
        <w:t>Уровень риска 259 взаимных фондов. Частоты и процентные доли</w:t>
      </w:r>
    </w:p>
    <w:p w:rsidR="007E7AC2" w:rsidRPr="00700637" w:rsidRDefault="007E7AC2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006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Линейчатая диаграмма</w:t>
      </w:r>
    </w:p>
    <w:p w:rsidR="007E7AC2" w:rsidRPr="007E7AC2" w:rsidRDefault="007E7AC2" w:rsidP="00957075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Информацию, содержащуюся в табл</w:t>
      </w:r>
      <w:r w:rsidR="00957075">
        <w:rPr>
          <w:rFonts w:asciiTheme="minorHAnsi" w:eastAsiaTheme="minorHAnsi" w:hAnsiTheme="minorHAnsi" w:cstheme="minorBidi"/>
          <w:sz w:val="22"/>
          <w:szCs w:val="22"/>
          <w:lang w:eastAsia="en-US"/>
        </w:rPr>
        <w:t>ице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57075">
        <w:rPr>
          <w:rFonts w:asciiTheme="minorHAnsi" w:eastAsiaTheme="minorHAnsi" w:hAnsiTheme="minorHAnsi" w:cstheme="minorBidi"/>
          <w:sz w:val="22"/>
          <w:szCs w:val="22"/>
          <w:lang w:eastAsia="en-US"/>
        </w:rPr>
        <w:t>(рис. 1)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, можно представить в вид</w:t>
      </w:r>
      <w:r w:rsidR="00957075">
        <w:rPr>
          <w:rFonts w:asciiTheme="minorHAnsi" w:eastAsiaTheme="minorHAnsi" w:hAnsiTheme="minorHAnsi" w:cstheme="minorBidi"/>
          <w:sz w:val="22"/>
          <w:szCs w:val="22"/>
          <w:lang w:eastAsia="en-US"/>
        </w:rPr>
        <w:t>е линейчатой диаграммы (рис. 2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в которой каждая категория элементов изображается в виде столбца. Высота столбца равна частоте или процентной доле элементов выборки, относящихся к данной категории. </w:t>
      </w:r>
    </w:p>
    <w:p w:rsidR="00957075" w:rsidRDefault="00957075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705308" cy="223090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2. Линейчатая диаграмма, отображающая уровень риска фонд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78" cy="223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C2" w:rsidRPr="007E7AC2" w:rsidRDefault="007E7AC2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Рис. 2. Линейчатая диаграмма, отображающая уровень риска фон</w:t>
      </w:r>
      <w:r w:rsidR="00957075">
        <w:rPr>
          <w:rFonts w:asciiTheme="minorHAnsi" w:eastAsiaTheme="minorHAnsi" w:hAnsiTheme="minorHAnsi" w:cstheme="minorBidi"/>
          <w:sz w:val="22"/>
          <w:szCs w:val="22"/>
          <w:lang w:eastAsia="en-US"/>
        </w:rPr>
        <w:t>дов</w:t>
      </w:r>
    </w:p>
    <w:p w:rsidR="007E7AC2" w:rsidRPr="00957075" w:rsidRDefault="007E7AC2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570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Круговая диаграмма</w:t>
      </w:r>
    </w:p>
    <w:p w:rsidR="007E7AC2" w:rsidRDefault="007E7AC2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Существует еще один весьма популярный спосо</w:t>
      </w:r>
      <w:r w:rsidR="00957075">
        <w:rPr>
          <w:rFonts w:asciiTheme="minorHAnsi" w:eastAsiaTheme="minorHAnsi" w:hAnsiTheme="minorHAnsi" w:cstheme="minorBidi"/>
          <w:sz w:val="22"/>
          <w:szCs w:val="22"/>
          <w:lang w:eastAsia="en-US"/>
        </w:rPr>
        <w:t>б отображения информации, содер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жащейся в сводной таблице, — круговая диаграмма </w:t>
      </w:r>
      <w:r w:rsidR="00957075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рис. </w:t>
      </w:r>
      <w:r w:rsidR="009570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3). 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При построении круговых диаграмм используется тот факт, что угол окружности равен 360°. Круг разделяется на секторы, углы кото</w:t>
      </w:r>
      <w:r w:rsidR="00957075">
        <w:rPr>
          <w:rFonts w:asciiTheme="minorHAnsi" w:eastAsiaTheme="minorHAnsi" w:hAnsiTheme="minorHAnsi" w:cstheme="minorBidi"/>
          <w:sz w:val="22"/>
          <w:szCs w:val="22"/>
          <w:lang w:eastAsia="en-US"/>
        </w:rPr>
        <w:t>рых соответствуют процентным до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лям каждой категории. Например, на рис. </w:t>
      </w:r>
      <w:r w:rsidR="00957075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показан сектор, соответствующий доле взаимных фондов с низким риском, которая равна 29,3%. При построении круговой диаграммы величина 360° умножается на 0,293. В результате образуется сектор, угол которого равен 105,6°. Как видим, круговая диаграмма позволяет отразить долю к</w:t>
      </w:r>
      <w:r w:rsidR="00957075">
        <w:rPr>
          <w:rFonts w:asciiTheme="minorHAnsi" w:eastAsiaTheme="minorHAnsi" w:hAnsiTheme="minorHAnsi" w:cstheme="minorBidi"/>
          <w:sz w:val="22"/>
          <w:szCs w:val="22"/>
          <w:lang w:eastAsia="en-US"/>
        </w:rPr>
        <w:t>аждой категории в общем «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пироге</w:t>
      </w:r>
      <w:r w:rsidR="00957075">
        <w:rPr>
          <w:rFonts w:asciiTheme="minorHAnsi" w:eastAsiaTheme="minorHAnsi" w:hAnsiTheme="minorHAnsi" w:cstheme="minorBidi"/>
          <w:sz w:val="22"/>
          <w:szCs w:val="22"/>
          <w:lang w:eastAsia="en-US"/>
        </w:rPr>
        <w:t>».</w:t>
      </w:r>
    </w:p>
    <w:p w:rsidR="00957075" w:rsidRDefault="00957075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2533467" cy="232178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3. Круговая диаграмма, отображающая уровень риска фондов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8" b="2034"/>
                    <a:stretch/>
                  </pic:blipFill>
                  <pic:spPr bwMode="auto">
                    <a:xfrm>
                      <a:off x="0" y="0"/>
                      <a:ext cx="2546853" cy="2334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075" w:rsidRPr="007E7AC2" w:rsidRDefault="00957075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Рис.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. Круговая диаграмма,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ображающая уровень риска фондов</w:t>
      </w:r>
    </w:p>
    <w:p w:rsidR="007E7AC2" w:rsidRPr="007E7AC2" w:rsidRDefault="007E7AC2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Цель графического представления данных — точность и ясность. Например, рис. 2 и </w:t>
      </w:r>
      <w:r w:rsidR="00957075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отображают одинаковую информацию. Какой из двух видов диаграмм предпочесть — дело вкуса. В частности, некоторые исследования показывают, что люди труднее воспринимают круговые диаграммы. Оказывается, человеку намного проще интерпретировать разницу между высотами столбцов в линейчатых диаграммах, чем углы секторов в круговых диаграммах. Обратите внимание на то, что по рис. </w:t>
      </w:r>
      <w:r w:rsidR="003B5257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нелегко определить, какая из категорий фондов больше — с низким, средним или высоким уровнем риска. В то же время по линейчатой диаграмме легко определить, что доля фондов со средним уровнем риска больше, чем доли фондов с высоким и низким уровнями риска.</w:t>
      </w:r>
    </w:p>
    <w:p w:rsidR="007E7AC2" w:rsidRPr="007E7AC2" w:rsidRDefault="007E7AC2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С другой стороны, круговые диаграммы четко демонстрируют, что сумма</w:t>
      </w:r>
      <w:r w:rsidR="003B5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долей всех категорий равна 100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%. Таким образом, выбор диаграммы является субъективным и часто зависит от предпочтений пользователя. Если необходимо сравнивать доли категорий, лучше применять линейчатые диаграммы. Если важно продемонстрировать </w:t>
      </w:r>
      <w:r w:rsidR="008C5C03">
        <w:rPr>
          <w:rFonts w:asciiTheme="minorHAnsi" w:eastAsiaTheme="minorHAnsi" w:hAnsiTheme="minorHAnsi" w:cstheme="minorBidi"/>
          <w:sz w:val="22"/>
          <w:szCs w:val="22"/>
          <w:lang w:eastAsia="en-US"/>
        </w:rPr>
        <w:t>вклад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</w:t>
      </w:r>
      <w:r w:rsidR="003B5257">
        <w:rPr>
          <w:rFonts w:asciiTheme="minorHAnsi" w:eastAsiaTheme="minorHAnsi" w:hAnsiTheme="minorHAnsi" w:cstheme="minorBidi"/>
          <w:sz w:val="22"/>
          <w:szCs w:val="22"/>
          <w:lang w:eastAsia="en-US"/>
        </w:rPr>
        <w:t>лей отдельных категорий в общ</w:t>
      </w:r>
      <w:r w:rsidR="008C5C03"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r w:rsidR="003B5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пирог</w:t>
      </w:r>
      <w:r w:rsidR="003B5257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, лучше использовать круговые диаграммы.</w:t>
      </w:r>
    </w:p>
    <w:p w:rsidR="007E7AC2" w:rsidRPr="003B5257" w:rsidRDefault="007E7AC2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B52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Диаграмма Парето</w:t>
      </w:r>
    </w:p>
    <w:p w:rsidR="007E7AC2" w:rsidRPr="007E7AC2" w:rsidRDefault="007E7AC2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Существует более информативный способ графического изображения категорийных данных — диаграмма Парето. Она особенно полезна, если количество категорий велико. Диаграмма Парето</w:t>
      </w:r>
      <w:r w:rsidR="003B5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— это особая разновидность вертикальной диаграммы, в которой категории приводятся в порядке убывания их частот одновременно с полигоном накопленных частот. Это позволяет выделить наиболее важные категории из большого количества м</w:t>
      </w:r>
      <w:r w:rsidR="008C5C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енее 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значимых групп. Диаграмма Парето получила широкое распространение при анализе производственных процессов и контроле качества</w:t>
      </w:r>
      <w:r w:rsidR="003B5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(см., например, </w:t>
      </w:r>
      <w:hyperlink r:id="rId12" w:history="1">
        <w:r w:rsidR="003B5257" w:rsidRPr="003B5257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АВС-анализ и принцип Парето для бизнеса</w:t>
        </w:r>
      </w:hyperlink>
      <w:r w:rsidR="003B5257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7AC2" w:rsidRPr="007E7AC2" w:rsidRDefault="003B5257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Например, для построения Диаграммы Парето на основе данных рис. 1, необходимо отсортировать строки по убыванию, и одновременно отобразить как количество фондов в каждой категории, так и интегральный процент (рис. 4).</w:t>
      </w:r>
    </w:p>
    <w:p w:rsidR="007E7AC2" w:rsidRPr="007E7AC2" w:rsidRDefault="006C4183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050049" cy="224226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4. Диаграмма Парето, отображающая специфику фонд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314" cy="226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C2" w:rsidRDefault="007E7AC2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Рис. </w:t>
      </w:r>
      <w:r w:rsidR="003B5257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7E7AC2">
        <w:rPr>
          <w:rFonts w:asciiTheme="minorHAnsi" w:eastAsiaTheme="minorHAnsi" w:hAnsiTheme="minorHAnsi" w:cstheme="minorBidi"/>
          <w:sz w:val="22"/>
          <w:szCs w:val="22"/>
          <w:lang w:eastAsia="en-US"/>
        </w:rPr>
        <w:t>. Диаграмма Парето, отображающая специфику фондов</w:t>
      </w:r>
    </w:p>
    <w:p w:rsidR="003B5257" w:rsidRDefault="003B5257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Надо отметить, что в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Pr="003B5257">
        <w:rPr>
          <w:rFonts w:asciiTheme="minorHAnsi" w:eastAsiaTheme="minorHAnsi" w:hAnsiTheme="minorHAnsi" w:cstheme="minorBidi"/>
          <w:sz w:val="22"/>
          <w:szCs w:val="22"/>
          <w:lang w:eastAsia="en-US"/>
        </w:rPr>
        <w:t>2013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предоставляется стандартная возможность построения </w:t>
      </w:r>
      <w:r w:rsidR="006C41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таких комбинированных диаграмм (рис. 5). Если же у вас </w:t>
      </w:r>
      <w:r w:rsidR="006C418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="006C41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2007, то вам придется помучиться (см., например, </w:t>
      </w:r>
      <w:hyperlink r:id="rId14" w:history="1">
        <w:r w:rsidR="006C4183" w:rsidRPr="006C4183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Диаграмма </w:t>
        </w:r>
        <w:proofErr w:type="spellStart"/>
        <w:r w:rsidR="006C4183" w:rsidRPr="006C4183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Excel</w:t>
        </w:r>
        <w:proofErr w:type="spellEnd"/>
        <w:r w:rsidR="006C4183" w:rsidRPr="006C4183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с двумя осями ординат</w:t>
        </w:r>
      </w:hyperlink>
      <w:r w:rsidR="006C4183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6C4183" w:rsidRDefault="006C4183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119495" cy="28422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5. Построение комбинированной диаграммы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83" w:rsidRPr="006C4183" w:rsidRDefault="006C4183" w:rsidP="007E7AC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Рис. 5. </w:t>
      </w:r>
      <w:r w:rsidRPr="006C4183">
        <w:rPr>
          <w:rFonts w:asciiTheme="minorHAnsi" w:eastAsiaTheme="minorHAnsi" w:hAnsiTheme="minorHAnsi" w:cstheme="minorBidi"/>
          <w:sz w:val="22"/>
          <w:szCs w:val="22"/>
          <w:lang w:eastAsia="en-US"/>
        </w:rPr>
        <w:t>Построение комбинированной диаграммы</w:t>
      </w:r>
    </w:p>
    <w:p w:rsidR="005D422A" w:rsidRPr="005D422A" w:rsidRDefault="005D422A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D42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Представление двумерных категорийных данных</w:t>
      </w:r>
    </w:p>
    <w:p w:rsidR="005D422A" w:rsidRPr="005D422A" w:rsidRDefault="005D422A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Довольно часто необходимо анализировать пары категорийных переменных. </w:t>
      </w:r>
      <w:r w:rsidR="008C5C03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этого используют</w:t>
      </w: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таблиц</w:t>
      </w:r>
      <w:r w:rsidR="008C5C03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5E0A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сопряженности </w:t>
      </w: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признаков и </w:t>
      </w:r>
      <w:r w:rsidR="005E0A54">
        <w:rPr>
          <w:rFonts w:asciiTheme="minorHAnsi" w:eastAsiaTheme="minorHAnsi" w:hAnsiTheme="minorHAnsi" w:cstheme="minorBidi"/>
          <w:sz w:val="22"/>
          <w:szCs w:val="22"/>
          <w:lang w:eastAsia="en-US"/>
        </w:rPr>
        <w:t>нормированные</w:t>
      </w: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диаграммы.</w:t>
      </w:r>
    </w:p>
    <w:p w:rsidR="005D422A" w:rsidRPr="005D422A" w:rsidRDefault="005D422A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D42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Таблица сопряженности признаков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Чтобы можно было одновременно анализировать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две категорийные переменные, об</w:t>
      </w: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разующие пару, используются таблицы перекрестной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классификации с двумя входами</w:t>
      </w: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>, или таблицы сопряжен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ности признаков (и</w:t>
      </w: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>х также называют фа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кторными таблицами</w:t>
      </w: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Например, может возникнуть вопрос: существует ли зависимость между уровнем риска и платой, взимаемой фондами за осуществление продаж своих акций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(рис. 6)?</w:t>
      </w:r>
    </w:p>
    <w:p w:rsidR="005D422A" w:rsidRDefault="005D422A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241675" cy="127220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6. Таблица сопряженност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223" cy="12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22A" w:rsidRPr="005D422A" w:rsidRDefault="005D422A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Рис. 6.</w:t>
      </w: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Таблица сопряженности признаков, содержащая данные об уровне риска и плате, взимаемой фондами за осуществление продаж своих акций</w:t>
      </w:r>
    </w:p>
    <w:p w:rsidR="005D422A" w:rsidRPr="005D422A" w:rsidRDefault="005D422A" w:rsidP="00D10E1E">
      <w:pPr>
        <w:pStyle w:val="ac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Чтобы выявить возможную зависимость между специализацией фонда и прейскурантом его комиссионных сборов, эти результаты сначала преобразуют в процентные доли, используя </w:t>
      </w:r>
      <w:r w:rsidR="005E0A54"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следующие </w:t>
      </w: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 </w:t>
      </w:r>
      <w:r w:rsidR="005E0A54">
        <w:rPr>
          <w:rFonts w:asciiTheme="minorHAnsi" w:eastAsiaTheme="minorHAnsi" w:hAnsiTheme="minorHAnsi" w:cstheme="minorBidi"/>
          <w:sz w:val="22"/>
          <w:szCs w:val="22"/>
          <w:lang w:eastAsia="en-US"/>
        </w:rPr>
        <w:t>базиса</w:t>
      </w:r>
      <w:r w:rsidR="00D10E1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5D422A" w:rsidRPr="005D422A" w:rsidRDefault="000C0553" w:rsidP="000C0553">
      <w:pPr>
        <w:pStyle w:val="ac"/>
        <w:numPr>
          <w:ilvl w:val="0"/>
          <w:numId w:val="22"/>
        </w:numPr>
        <w:spacing w:before="0" w:beforeAutospacing="0" w:after="0" w:afterAutospacing="0"/>
        <w:ind w:left="709" w:hanging="3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5D422A"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>бщ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ую</w:t>
      </w:r>
      <w:proofErr w:type="gramEnd"/>
      <w:r w:rsidR="005D422A"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сумм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 (259 взаимных фондов);</w:t>
      </w:r>
    </w:p>
    <w:p w:rsidR="005D422A" w:rsidRPr="005D422A" w:rsidRDefault="000C0553" w:rsidP="000C0553">
      <w:pPr>
        <w:pStyle w:val="ac"/>
        <w:numPr>
          <w:ilvl w:val="0"/>
          <w:numId w:val="22"/>
        </w:numPr>
        <w:spacing w:before="0" w:beforeAutospacing="0" w:after="0" w:afterAutospacing="0"/>
        <w:ind w:left="709" w:hanging="3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5D422A"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>умм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proofErr w:type="gramEnd"/>
      <w:r w:rsidR="005D422A"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строкам (фонды, взимающие плату за продажу своих акций, 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фонды без брокерской комиссии);</w:t>
      </w:r>
    </w:p>
    <w:p w:rsidR="005D422A" w:rsidRDefault="000C0553" w:rsidP="000C0553">
      <w:pPr>
        <w:pStyle w:val="ac"/>
        <w:numPr>
          <w:ilvl w:val="0"/>
          <w:numId w:val="22"/>
        </w:numPr>
        <w:spacing w:before="0" w:beforeAutospacing="0" w:after="120" w:afterAutospacing="0"/>
        <w:ind w:left="709" w:hanging="3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5D422A"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>умм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proofErr w:type="gramEnd"/>
      <w:r w:rsidR="005D422A"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столбцам (пять уровней риска).</w:t>
      </w:r>
    </w:p>
    <w:p w:rsidR="005E0A54" w:rsidRPr="00714AF7" w:rsidRDefault="005E0A54" w:rsidP="005E0A54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Удобную возможность построения таблиц сопряжения дает опция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E0A5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Сводные таблицы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Для начала нужно представить исходные данные в виде строк, в каждой из которых содержатся все исследуемые параметры (рис. 7). </w:t>
      </w:r>
      <w:r w:rsidR="00714AF7">
        <w:rPr>
          <w:rFonts w:asciiTheme="minorHAnsi" w:eastAsiaTheme="minorHAnsi" w:hAnsiTheme="minorHAnsi" w:cstheme="minorBidi"/>
          <w:sz w:val="22"/>
          <w:szCs w:val="22"/>
          <w:lang w:eastAsia="en-US"/>
        </w:rPr>
        <w:t>Далее выделяем область В3:</w:t>
      </w:r>
      <w:r w:rsidR="00714A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</w:t>
      </w:r>
      <w:r w:rsidR="00714AF7" w:rsidRPr="00714AF7">
        <w:rPr>
          <w:rFonts w:asciiTheme="minorHAnsi" w:eastAsiaTheme="minorHAnsi" w:hAnsiTheme="minorHAnsi" w:cstheme="minorBidi"/>
          <w:sz w:val="22"/>
          <w:szCs w:val="22"/>
          <w:lang w:eastAsia="en-US"/>
        </w:rPr>
        <w:t>13</w:t>
      </w:r>
      <w:r w:rsidR="00714A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и проходим по меню Вставка → Сводная таблица. В открывшемся окне </w:t>
      </w:r>
      <w:r w:rsidR="00714AF7" w:rsidRPr="00714AF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Создание сводной таблицы</w:t>
      </w:r>
      <w:r w:rsidR="00714A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указываем </w:t>
      </w:r>
      <w:r w:rsidR="00714AF7" w:rsidRPr="00714AF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на существующий лист</w:t>
      </w:r>
      <w:r w:rsidR="00714A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в поле </w:t>
      </w:r>
      <w:r w:rsidR="00714AF7" w:rsidRPr="00714AF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Диапазон</w:t>
      </w:r>
      <w:r w:rsidR="00714A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кликаем на ячейку, где мы хотели расположить левый верхний угол сводной таблицы, кликаем </w:t>
      </w:r>
      <w:r w:rsidR="00714A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Ok</w:t>
      </w:r>
      <w:r w:rsidR="00714A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(Если вы хотите разместить сводную таблицу на отдельном листе, сразу после открытия окна </w:t>
      </w:r>
      <w:r w:rsidR="00714AF7" w:rsidRPr="00D8565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Создание сводной таблицы</w:t>
      </w:r>
      <w:r w:rsidR="00714A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кликните </w:t>
      </w:r>
      <w:r w:rsidR="00714A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Ok</w:t>
      </w:r>
      <w:r w:rsidR="00714AF7">
        <w:rPr>
          <w:rFonts w:asciiTheme="minorHAnsi" w:eastAsiaTheme="minorHAnsi" w:hAnsiTheme="minorHAnsi" w:cstheme="minorBidi"/>
          <w:sz w:val="22"/>
          <w:szCs w:val="22"/>
          <w:lang w:eastAsia="en-US"/>
        </w:rPr>
        <w:t>.)</w:t>
      </w:r>
    </w:p>
    <w:p w:rsidR="005E0A54" w:rsidRDefault="00714AF7" w:rsidP="005E0A54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6119495" cy="331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. Построение сводной таблицы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54" w:rsidRDefault="005E0A54" w:rsidP="005E0A54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Рис. 7. Построение сводной таблицы</w:t>
      </w:r>
    </w:p>
    <w:p w:rsidR="00D85652" w:rsidRPr="005E0A54" w:rsidRDefault="00D85652" w:rsidP="005E0A54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настройки сводной таблицы просто перетащите строки из верхней части области </w:t>
      </w:r>
      <w:r w:rsidRPr="00D8565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Поля сводной таблицы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нижнюю, как указано на рис. 8.</w:t>
      </w:r>
    </w:p>
    <w:p w:rsidR="00D10E1E" w:rsidRDefault="00D85652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963973" cy="2438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. Настройка полей сводной таблицы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45" cy="244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52" w:rsidRDefault="00D85652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Рис. </w:t>
      </w:r>
      <w:r w:rsidRPr="00D85652">
        <w:rPr>
          <w:rFonts w:asciiTheme="minorHAnsi" w:eastAsiaTheme="minorHAnsi" w:hAnsiTheme="minorHAnsi" w:cstheme="minorBidi"/>
          <w:noProof/>
          <w:sz w:val="22"/>
          <w:szCs w:val="22"/>
        </w:rPr>
        <w:t>8. Настройка полей сводной таблицы</w:t>
      </w:r>
    </w:p>
    <w:p w:rsidR="00D85652" w:rsidRDefault="00D85652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Логично расположить </w:t>
      </w:r>
      <w:r w:rsidR="00566952">
        <w:rPr>
          <w:rFonts w:asciiTheme="minorHAnsi" w:eastAsiaTheme="minorHAnsi" w:hAnsiTheme="minorHAnsi" w:cstheme="minorBidi"/>
          <w:noProof/>
          <w:sz w:val="22"/>
          <w:szCs w:val="22"/>
        </w:rPr>
        <w:t xml:space="preserve">строки в сводной таблицы в порядке возрастания (или убывания) степени риска. Для этого надо по очереди выбрать каждую строку, выбрав ячейку в области </w:t>
      </w:r>
      <w:r w:rsidR="00566952" w:rsidRPr="00566952">
        <w:rPr>
          <w:rFonts w:asciiTheme="minorHAnsi" w:eastAsiaTheme="minorHAnsi" w:hAnsiTheme="minorHAnsi" w:cstheme="minorBidi"/>
          <w:i/>
          <w:noProof/>
          <w:sz w:val="22"/>
          <w:szCs w:val="22"/>
        </w:rPr>
        <w:t>Название строк</w:t>
      </w:r>
      <w:r w:rsidR="00566952">
        <w:rPr>
          <w:rFonts w:asciiTheme="minorHAnsi" w:eastAsiaTheme="minorHAnsi" w:hAnsiTheme="minorHAnsi" w:cstheme="minorBidi"/>
          <w:noProof/>
          <w:sz w:val="22"/>
          <w:szCs w:val="22"/>
        </w:rPr>
        <w:t xml:space="preserve"> (например, </w:t>
      </w:r>
      <w:r w:rsidR="00566952" w:rsidRPr="00566952">
        <w:rPr>
          <w:rFonts w:asciiTheme="minorHAnsi" w:eastAsiaTheme="minorHAnsi" w:hAnsiTheme="minorHAnsi" w:cstheme="minorBidi"/>
          <w:i/>
          <w:noProof/>
          <w:sz w:val="22"/>
          <w:szCs w:val="22"/>
        </w:rPr>
        <w:t>Очень высокий</w:t>
      </w:r>
      <w:r w:rsidR="00566952">
        <w:rPr>
          <w:rFonts w:asciiTheme="minorHAnsi" w:eastAsiaTheme="minorHAnsi" w:hAnsiTheme="minorHAnsi" w:cstheme="minorBidi"/>
          <w:noProof/>
          <w:sz w:val="22"/>
          <w:szCs w:val="22"/>
        </w:rPr>
        <w:t>), кликнуть правой кнопкой мыши, и выбрать в контекстном меню Переместить, указав, куда именно переместить выбранную строку (рис. 9).</w:t>
      </w:r>
    </w:p>
    <w:p w:rsidR="00D85652" w:rsidRDefault="00566952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4365266" cy="32101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. Перетаскивание строк сводной таблиц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080" cy="321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52" w:rsidRDefault="00D85652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Рис. </w:t>
      </w:r>
      <w:r w:rsidRPr="00D85652">
        <w:rPr>
          <w:rFonts w:asciiTheme="minorHAnsi" w:eastAsiaTheme="minorHAnsi" w:hAnsiTheme="minorHAnsi" w:cstheme="minorBidi"/>
          <w:noProof/>
          <w:sz w:val="22"/>
          <w:szCs w:val="22"/>
        </w:rPr>
        <w:t>9. Перетаскивание строк сводной таблицы</w:t>
      </w:r>
    </w:p>
    <w:p w:rsidR="00566952" w:rsidRDefault="00566952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И, наконец, мы можем выбрать базис для анализа процентных долей. </w:t>
      </w:r>
      <w:r w:rsidR="00DA2D82">
        <w:rPr>
          <w:rFonts w:asciiTheme="minorHAnsi" w:eastAsiaTheme="minorHAnsi" w:hAnsiTheme="minorHAnsi" w:cstheme="minorBidi"/>
          <w:noProof/>
          <w:sz w:val="22"/>
          <w:szCs w:val="22"/>
        </w:rPr>
        <w:t>Встаньет в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любую ячейку в области </w:t>
      </w:r>
      <w:r w:rsidR="00DA2D82">
        <w:rPr>
          <w:rFonts w:asciiTheme="minorHAnsi" w:eastAsiaTheme="minorHAnsi" w:hAnsiTheme="minorHAnsi" w:cstheme="minorBidi"/>
          <w:noProof/>
          <w:sz w:val="22"/>
          <w:szCs w:val="22"/>
        </w:rPr>
        <w:t xml:space="preserve">значений (рис. 10), кликните правой кнопкой мыши, и в открывшемся контекстном меню выберите </w:t>
      </w:r>
      <w:r w:rsidR="00DA2D82" w:rsidRPr="00DA2D82">
        <w:rPr>
          <w:rFonts w:asciiTheme="minorHAnsi" w:eastAsiaTheme="minorHAnsi" w:hAnsiTheme="minorHAnsi" w:cstheme="minorBidi"/>
          <w:i/>
          <w:noProof/>
          <w:sz w:val="22"/>
          <w:szCs w:val="22"/>
        </w:rPr>
        <w:t>Параметры полей значений</w:t>
      </w:r>
      <w:r w:rsidR="00DA2D82">
        <w:rPr>
          <w:rFonts w:asciiTheme="minorHAnsi" w:eastAsiaTheme="minorHAnsi" w:hAnsiTheme="minorHAnsi" w:cstheme="minorBidi"/>
          <w:noProof/>
          <w:sz w:val="22"/>
          <w:szCs w:val="22"/>
        </w:rPr>
        <w:t>.</w:t>
      </w:r>
    </w:p>
    <w:p w:rsidR="00566952" w:rsidRDefault="00566952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420926" cy="29150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. Параметр поля значений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915" cy="291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52" w:rsidRDefault="00566952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Рис. </w:t>
      </w:r>
      <w:r w:rsidRPr="00566952">
        <w:rPr>
          <w:rFonts w:asciiTheme="minorHAnsi" w:eastAsiaTheme="minorHAnsi" w:hAnsiTheme="minorHAnsi" w:cstheme="minorBidi"/>
          <w:noProof/>
          <w:sz w:val="22"/>
          <w:szCs w:val="22"/>
        </w:rPr>
        <w:t>10. Параметр поля значений</w:t>
      </w:r>
    </w:p>
    <w:p w:rsidR="00DA2D82" w:rsidRDefault="00DA2D82" w:rsidP="00DA2D82">
      <w:pPr>
        <w:pStyle w:val="ac"/>
        <w:spacing w:before="0" w:beforeAutospacing="0" w:after="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В окне </w:t>
      </w:r>
      <w:r w:rsidRPr="00DA2D82">
        <w:rPr>
          <w:rFonts w:asciiTheme="minorHAnsi" w:eastAsiaTheme="minorHAnsi" w:hAnsiTheme="minorHAnsi" w:cstheme="minorBidi"/>
          <w:i/>
          <w:noProof/>
          <w:sz w:val="22"/>
          <w:szCs w:val="22"/>
        </w:rPr>
        <w:t>Параметры полей значений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перейдите на закладку Дополнительные вычисления, и выберите одну из опций (рис. 11):</w:t>
      </w:r>
    </w:p>
    <w:p w:rsidR="00DA2D82" w:rsidRDefault="00DA2D82" w:rsidP="00DA2D82">
      <w:pPr>
        <w:pStyle w:val="ac"/>
        <w:numPr>
          <w:ilvl w:val="0"/>
          <w:numId w:val="23"/>
        </w:numPr>
        <w:spacing w:before="0" w:beforeAutospacing="0" w:after="0" w:afterAutospacing="0"/>
        <w:ind w:left="714" w:hanging="357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% от общей суммы</w:t>
      </w:r>
    </w:p>
    <w:p w:rsidR="00DA2D82" w:rsidRDefault="00DA2D82" w:rsidP="00DA2D82">
      <w:pPr>
        <w:pStyle w:val="ac"/>
        <w:numPr>
          <w:ilvl w:val="0"/>
          <w:numId w:val="23"/>
        </w:numPr>
        <w:spacing w:before="0" w:beforeAutospacing="0" w:after="0" w:afterAutospacing="0"/>
        <w:ind w:left="714" w:hanging="357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% от суммы по столбцу</w:t>
      </w:r>
    </w:p>
    <w:p w:rsidR="00DA2D82" w:rsidRDefault="00DA2D82" w:rsidP="00DA2D82">
      <w:pPr>
        <w:pStyle w:val="ac"/>
        <w:numPr>
          <w:ilvl w:val="0"/>
          <w:numId w:val="23"/>
        </w:numPr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% от суммы по строке</w:t>
      </w:r>
    </w:p>
    <w:p w:rsidR="00DA2D82" w:rsidRDefault="00DA2D82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5709037" cy="233882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. Выбор базиса процентной доли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997" cy="234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82" w:rsidRDefault="00DA2D82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Рис. </w:t>
      </w:r>
      <w:r w:rsidRPr="00DA2D82">
        <w:rPr>
          <w:rFonts w:asciiTheme="minorHAnsi" w:eastAsiaTheme="minorHAnsi" w:hAnsiTheme="minorHAnsi" w:cstheme="minorBidi"/>
          <w:noProof/>
          <w:sz w:val="22"/>
          <w:szCs w:val="22"/>
        </w:rPr>
        <w:t>11. Выбор базиса процентной доли</w:t>
      </w:r>
    </w:p>
    <w:p w:rsidR="00DA2D82" w:rsidRDefault="00DA2D82" w:rsidP="00DA2D8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Поскольку нас интересует корреляция между степенью риска и наличием комиссии, уместно выбрать опцию % от суммы по строке. Мы увидим, подчиняется ли закономерности доля фондов, взимающих комиссию, при переходе от фондов с очень высоким риском к фондам с очень низким риском (рис. 12).</w:t>
      </w:r>
      <w:r w:rsidR="0011642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116429">
        <w:rPr>
          <w:rFonts w:asciiTheme="minorHAnsi" w:eastAsiaTheme="minorHAnsi" w:hAnsiTheme="minorHAnsi" w:cstheme="minorBidi"/>
          <w:sz w:val="22"/>
          <w:szCs w:val="22"/>
          <w:lang w:eastAsia="en-US"/>
        </w:rPr>
        <w:t>Явной тенденции обнаружить не удалось.</w:t>
      </w:r>
      <w:r w:rsidR="00116429">
        <w:rPr>
          <w:rStyle w:val="ab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2"/>
      </w:r>
    </w:p>
    <w:p w:rsidR="00DA2D82" w:rsidRDefault="00116429" w:rsidP="00DA2D8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172571" cy="115366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. Доля фондов, взимающих комиссию по уровням риск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324" cy="11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82" w:rsidRDefault="00DA2D82" w:rsidP="00DA2D82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Рис. 12. </w:t>
      </w:r>
      <w:r w:rsidR="00116429">
        <w:rPr>
          <w:rFonts w:asciiTheme="minorHAnsi" w:eastAsiaTheme="minorHAnsi" w:hAnsiTheme="minorHAnsi" w:cstheme="minorBidi"/>
          <w:noProof/>
          <w:sz w:val="22"/>
          <w:szCs w:val="22"/>
        </w:rPr>
        <w:t>Доля фондов, взимающих комиссию по уровням риска</w:t>
      </w:r>
    </w:p>
    <w:p w:rsidR="005D422A" w:rsidRPr="00D10E1E" w:rsidRDefault="00116429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1642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Нормированные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диаграммы</w:t>
      </w:r>
    </w:p>
    <w:p w:rsidR="00741570" w:rsidRPr="00741570" w:rsidRDefault="005D422A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визуализации двумерных категорийных данных часто строят </w:t>
      </w:r>
      <w:r w:rsidR="001164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нормированные </w:t>
      </w:r>
      <w:r w:rsidRPr="005D422A">
        <w:rPr>
          <w:rFonts w:asciiTheme="minorHAnsi" w:eastAsiaTheme="minorHAnsi" w:hAnsiTheme="minorHAnsi" w:cstheme="minorBidi"/>
          <w:sz w:val="22"/>
          <w:szCs w:val="22"/>
          <w:lang w:eastAsia="en-US"/>
        </w:rPr>
        <w:t>диаграмм</w:t>
      </w:r>
      <w:r w:rsidR="00116429">
        <w:rPr>
          <w:rFonts w:asciiTheme="minorHAnsi" w:eastAsiaTheme="minorHAnsi" w:hAnsiTheme="minorHAnsi" w:cstheme="minorBidi"/>
          <w:sz w:val="22"/>
          <w:szCs w:val="22"/>
          <w:lang w:eastAsia="en-US"/>
        </w:rPr>
        <w:t>ы, то есть диаграммы, в которых высота столбиков равна 1 (100%) вне зависимости от общего числа случаев в той или иной категории. На рис. 13</w:t>
      </w:r>
      <w:r w:rsid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представлен пример такой диаграммы.</w:t>
      </w:r>
      <w:r w:rsidR="00741570" w:rsidRP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Четко видна закономерность: доля трафика </w:t>
      </w:r>
      <w:r w:rsidR="007415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google</w:t>
      </w:r>
      <w:r w:rsid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выросла летом – осенью 2012 г. с 40 до 55%, а затем вновь упала до 40% (для меня остается загадкой, с чем это </w:t>
      </w:r>
      <w:proofErr w:type="gramStart"/>
      <w:r w:rsid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связано </w:t>
      </w:r>
      <w:r w:rsidR="00741570" w:rsidRP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4A"/>
      </w:r>
      <w:r w:rsid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proofErr w:type="gramEnd"/>
      <w:r w:rsid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41570" w:rsidRDefault="00741570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673503" cy="214287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. Соотношение вклада google и yandex в поисковый трафик сайта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637" cy="214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22A" w:rsidRPr="00741570" w:rsidRDefault="00741570" w:rsidP="005D422A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Рис</w:t>
      </w:r>
      <w:r w:rsidRP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>. 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r w:rsidRP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Соотношение вклада </w:t>
      </w:r>
      <w:proofErr w:type="spellStart"/>
      <w:r w:rsidRP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>google</w:t>
      </w:r>
      <w:proofErr w:type="spellEnd"/>
      <w:r w:rsidRP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>yandex</w:t>
      </w:r>
      <w:proofErr w:type="spellEnd"/>
      <w:r w:rsidRP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поисковый трафик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сайта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baguzin</w:t>
      </w:r>
      <w:proofErr w:type="spellEnd"/>
      <w:r w:rsidRPr="0074157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ru</w:t>
      </w:r>
      <w:proofErr w:type="spellEnd"/>
    </w:p>
    <w:p w:rsidR="00741570" w:rsidRPr="00741570" w:rsidRDefault="005F735B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FF" w:themeColor="hyperlink"/>
          <w:sz w:val="22"/>
          <w:szCs w:val="22"/>
          <w:u w:val="single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Предыдущая заметка</w:t>
      </w:r>
      <w:r w:rsidRPr="000D478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24" w:history="1">
        <w:r w:rsidR="007E7AC2" w:rsidRPr="007E7AC2">
          <w:rPr>
            <w:rStyle w:val="a3"/>
            <w:rFonts w:asciiTheme="minorHAnsi" w:hAnsiTheme="minorHAnsi"/>
            <w:sz w:val="22"/>
            <w:szCs w:val="22"/>
          </w:rPr>
          <w:t>Представление категорийных данных в виде таблиц и диаграмм</w:t>
        </w:r>
      </w:hyperlink>
    </w:p>
    <w:p w:rsidR="00741570" w:rsidRDefault="00741570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Следующая заметка </w:t>
      </w:r>
      <w:r w:rsidRPr="00741570">
        <w:rPr>
          <w:rFonts w:asciiTheme="minorHAnsi" w:hAnsiTheme="minorHAnsi"/>
          <w:color w:val="000000"/>
          <w:sz w:val="22"/>
          <w:szCs w:val="22"/>
        </w:rPr>
        <w:t>Искусство графического представления данных</w:t>
      </w:r>
    </w:p>
    <w:p w:rsidR="005F735B" w:rsidRPr="000D478A" w:rsidRDefault="005F735B" w:rsidP="000D478A">
      <w:pPr>
        <w:pStyle w:val="ac"/>
        <w:spacing w:before="0" w:beforeAutospacing="0" w:after="120" w:afterAutospacing="0"/>
        <w:rPr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25" w:history="1"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Статистика для менеджеров с использованием </w:t>
        </w:r>
        <w:proofErr w:type="spellStart"/>
        <w:r w:rsidRPr="000D478A">
          <w:rPr>
            <w:rStyle w:val="a3"/>
            <w:rFonts w:asciiTheme="minorHAnsi" w:hAnsiTheme="minorHAnsi"/>
            <w:sz w:val="22"/>
            <w:szCs w:val="22"/>
          </w:rPr>
          <w:t>Microsoft</w:t>
        </w:r>
        <w:proofErr w:type="spellEnd"/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0D478A">
          <w:rPr>
            <w:rStyle w:val="a3"/>
            <w:rFonts w:asciiTheme="minorHAnsi" w:hAnsiTheme="minorHAnsi"/>
            <w:sz w:val="22"/>
            <w:szCs w:val="22"/>
          </w:rPr>
          <w:t>Excel</w:t>
        </w:r>
        <w:proofErr w:type="spellEnd"/>
      </w:hyperlink>
    </w:p>
    <w:sectPr w:rsidR="005F735B" w:rsidRPr="000D478A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29" w:rsidRDefault="00116429" w:rsidP="00C348E1">
      <w:pPr>
        <w:spacing w:after="0" w:line="240" w:lineRule="auto"/>
      </w:pPr>
      <w:r>
        <w:separator/>
      </w:r>
    </w:p>
  </w:endnote>
  <w:endnote w:type="continuationSeparator" w:id="0">
    <w:p w:rsidR="00116429" w:rsidRDefault="00116429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29" w:rsidRDefault="00116429" w:rsidP="00C348E1">
      <w:pPr>
        <w:spacing w:after="0" w:line="240" w:lineRule="auto"/>
      </w:pPr>
      <w:r>
        <w:separator/>
      </w:r>
    </w:p>
  </w:footnote>
  <w:footnote w:type="continuationSeparator" w:id="0">
    <w:p w:rsidR="00116429" w:rsidRDefault="00116429" w:rsidP="00C348E1">
      <w:pPr>
        <w:spacing w:after="0" w:line="240" w:lineRule="auto"/>
      </w:pPr>
      <w:r>
        <w:continuationSeparator/>
      </w:r>
    </w:p>
  </w:footnote>
  <w:footnote w:id="1">
    <w:p w:rsidR="00116429" w:rsidRDefault="00116429" w:rsidP="00700637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 – М.: Вильямс, 2004. – с. 124–138</w:t>
      </w:r>
    </w:p>
  </w:footnote>
  <w:footnote w:id="2">
    <w:p w:rsidR="00116429" w:rsidRDefault="00116429">
      <w:pPr>
        <w:pStyle w:val="a9"/>
      </w:pPr>
      <w:r>
        <w:rPr>
          <w:rStyle w:val="ab"/>
        </w:rPr>
        <w:footnoteRef/>
      </w:r>
      <w:r>
        <w:t xml:space="preserve"> Любопытно, что авторы книги </w:t>
      </w:r>
      <w:bookmarkStart w:id="0" w:name="_GoBack"/>
      <w:bookmarkEnd w:id="0"/>
      <w:r>
        <w:t xml:space="preserve">такую закономерность (на тех же исходных данных) увидели </w:t>
      </w:r>
      <w:r>
        <w:sym w:font="Wingdings" w:char="F04A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337B"/>
    <w:multiLevelType w:val="hybridMultilevel"/>
    <w:tmpl w:val="E3FA783C"/>
    <w:lvl w:ilvl="0" w:tplc="32AEC0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C68"/>
    <w:multiLevelType w:val="hybridMultilevel"/>
    <w:tmpl w:val="950C7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0048"/>
    <w:multiLevelType w:val="hybridMultilevel"/>
    <w:tmpl w:val="0ED0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4651A"/>
    <w:multiLevelType w:val="hybridMultilevel"/>
    <w:tmpl w:val="A934D79A"/>
    <w:lvl w:ilvl="0" w:tplc="0419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87080"/>
    <w:multiLevelType w:val="hybridMultilevel"/>
    <w:tmpl w:val="1E5C196E"/>
    <w:lvl w:ilvl="0" w:tplc="41F0F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6A7E4F"/>
    <w:multiLevelType w:val="hybridMultilevel"/>
    <w:tmpl w:val="F936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D37DA"/>
    <w:multiLevelType w:val="hybridMultilevel"/>
    <w:tmpl w:val="360C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C6300"/>
    <w:multiLevelType w:val="hybridMultilevel"/>
    <w:tmpl w:val="F6E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86EDE"/>
    <w:multiLevelType w:val="hybridMultilevel"/>
    <w:tmpl w:val="999A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91EF5"/>
    <w:multiLevelType w:val="hybridMultilevel"/>
    <w:tmpl w:val="A55A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550FE"/>
    <w:multiLevelType w:val="hybridMultilevel"/>
    <w:tmpl w:val="ECCE5C1E"/>
    <w:lvl w:ilvl="0" w:tplc="77FED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21"/>
  </w:num>
  <w:num w:numId="5">
    <w:abstractNumId w:val="12"/>
  </w:num>
  <w:num w:numId="6">
    <w:abstractNumId w:val="14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4"/>
  </w:num>
  <w:num w:numId="12">
    <w:abstractNumId w:val="18"/>
  </w:num>
  <w:num w:numId="13">
    <w:abstractNumId w:val="9"/>
  </w:num>
  <w:num w:numId="14">
    <w:abstractNumId w:val="10"/>
  </w:num>
  <w:num w:numId="15">
    <w:abstractNumId w:val="15"/>
  </w:num>
  <w:num w:numId="16">
    <w:abstractNumId w:val="20"/>
  </w:num>
  <w:num w:numId="17">
    <w:abstractNumId w:val="5"/>
  </w:num>
  <w:num w:numId="18">
    <w:abstractNumId w:val="2"/>
  </w:num>
  <w:num w:numId="19">
    <w:abstractNumId w:val="7"/>
  </w:num>
  <w:num w:numId="20">
    <w:abstractNumId w:val="17"/>
  </w:num>
  <w:num w:numId="21">
    <w:abstractNumId w:val="1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68"/>
    <w:rsid w:val="00005714"/>
    <w:rsid w:val="000078AA"/>
    <w:rsid w:val="00050630"/>
    <w:rsid w:val="000524EE"/>
    <w:rsid w:val="00075D69"/>
    <w:rsid w:val="00084764"/>
    <w:rsid w:val="00084C90"/>
    <w:rsid w:val="000B4681"/>
    <w:rsid w:val="000B5B2E"/>
    <w:rsid w:val="000B6A79"/>
    <w:rsid w:val="000C0553"/>
    <w:rsid w:val="000C1FDE"/>
    <w:rsid w:val="000D478A"/>
    <w:rsid w:val="000E3326"/>
    <w:rsid w:val="001126DA"/>
    <w:rsid w:val="00116429"/>
    <w:rsid w:val="001232B1"/>
    <w:rsid w:val="00127A28"/>
    <w:rsid w:val="001376A5"/>
    <w:rsid w:val="00144BC7"/>
    <w:rsid w:val="00146A3E"/>
    <w:rsid w:val="001560F0"/>
    <w:rsid w:val="00164FA0"/>
    <w:rsid w:val="001A23A4"/>
    <w:rsid w:val="001A624A"/>
    <w:rsid w:val="001C2C08"/>
    <w:rsid w:val="001D6316"/>
    <w:rsid w:val="001E0BF5"/>
    <w:rsid w:val="001F21A1"/>
    <w:rsid w:val="0020706C"/>
    <w:rsid w:val="00212508"/>
    <w:rsid w:val="002265F0"/>
    <w:rsid w:val="00243FFF"/>
    <w:rsid w:val="002476F8"/>
    <w:rsid w:val="002511B1"/>
    <w:rsid w:val="002538F2"/>
    <w:rsid w:val="00253D66"/>
    <w:rsid w:val="00260926"/>
    <w:rsid w:val="00263634"/>
    <w:rsid w:val="0027094D"/>
    <w:rsid w:val="00273681"/>
    <w:rsid w:val="00282F4A"/>
    <w:rsid w:val="002965BC"/>
    <w:rsid w:val="002B0A05"/>
    <w:rsid w:val="002B41BC"/>
    <w:rsid w:val="002C47B6"/>
    <w:rsid w:val="002D2FCE"/>
    <w:rsid w:val="002F11D0"/>
    <w:rsid w:val="00301640"/>
    <w:rsid w:val="003236FD"/>
    <w:rsid w:val="00340740"/>
    <w:rsid w:val="0034227B"/>
    <w:rsid w:val="00342AA5"/>
    <w:rsid w:val="00356592"/>
    <w:rsid w:val="00360682"/>
    <w:rsid w:val="0037124D"/>
    <w:rsid w:val="00372BCE"/>
    <w:rsid w:val="00376D3D"/>
    <w:rsid w:val="0038408C"/>
    <w:rsid w:val="00387DE5"/>
    <w:rsid w:val="003973E1"/>
    <w:rsid w:val="003A1753"/>
    <w:rsid w:val="003B0CFC"/>
    <w:rsid w:val="003B0E6E"/>
    <w:rsid w:val="003B359D"/>
    <w:rsid w:val="003B5257"/>
    <w:rsid w:val="003C005C"/>
    <w:rsid w:val="003C0457"/>
    <w:rsid w:val="003C2CD2"/>
    <w:rsid w:val="003D3B03"/>
    <w:rsid w:val="003D66AC"/>
    <w:rsid w:val="003E145E"/>
    <w:rsid w:val="003F09B2"/>
    <w:rsid w:val="003F7554"/>
    <w:rsid w:val="00402C20"/>
    <w:rsid w:val="00413A70"/>
    <w:rsid w:val="0042584C"/>
    <w:rsid w:val="004402B8"/>
    <w:rsid w:val="00447EB7"/>
    <w:rsid w:val="00453E9E"/>
    <w:rsid w:val="004A2D7B"/>
    <w:rsid w:val="004A47E0"/>
    <w:rsid w:val="004A7576"/>
    <w:rsid w:val="004B4B0D"/>
    <w:rsid w:val="004D41CC"/>
    <w:rsid w:val="004D7540"/>
    <w:rsid w:val="004E0F70"/>
    <w:rsid w:val="004F1D66"/>
    <w:rsid w:val="00501EC8"/>
    <w:rsid w:val="00506F2A"/>
    <w:rsid w:val="00522507"/>
    <w:rsid w:val="0054349E"/>
    <w:rsid w:val="005500E7"/>
    <w:rsid w:val="00553C73"/>
    <w:rsid w:val="00566952"/>
    <w:rsid w:val="00567C04"/>
    <w:rsid w:val="00581560"/>
    <w:rsid w:val="00581668"/>
    <w:rsid w:val="00593E95"/>
    <w:rsid w:val="00596380"/>
    <w:rsid w:val="005A1C65"/>
    <w:rsid w:val="005A488B"/>
    <w:rsid w:val="005B0DA2"/>
    <w:rsid w:val="005B127A"/>
    <w:rsid w:val="005D422A"/>
    <w:rsid w:val="005E0A54"/>
    <w:rsid w:val="005E4B74"/>
    <w:rsid w:val="005E518D"/>
    <w:rsid w:val="005F361E"/>
    <w:rsid w:val="005F3EB6"/>
    <w:rsid w:val="005F735B"/>
    <w:rsid w:val="00601E26"/>
    <w:rsid w:val="00602AB0"/>
    <w:rsid w:val="00645354"/>
    <w:rsid w:val="00652CB3"/>
    <w:rsid w:val="00664D4D"/>
    <w:rsid w:val="00670BBB"/>
    <w:rsid w:val="006868F5"/>
    <w:rsid w:val="00690F59"/>
    <w:rsid w:val="006A0466"/>
    <w:rsid w:val="006A10E3"/>
    <w:rsid w:val="006A5A69"/>
    <w:rsid w:val="006B5679"/>
    <w:rsid w:val="006C4183"/>
    <w:rsid w:val="00700637"/>
    <w:rsid w:val="00704A59"/>
    <w:rsid w:val="0071163B"/>
    <w:rsid w:val="00714AF7"/>
    <w:rsid w:val="0071557D"/>
    <w:rsid w:val="0072114D"/>
    <w:rsid w:val="007246AF"/>
    <w:rsid w:val="00741570"/>
    <w:rsid w:val="00796F97"/>
    <w:rsid w:val="007B47B2"/>
    <w:rsid w:val="007C4E37"/>
    <w:rsid w:val="007D6EFC"/>
    <w:rsid w:val="007E7AC2"/>
    <w:rsid w:val="007F0BB7"/>
    <w:rsid w:val="007F5737"/>
    <w:rsid w:val="008303A2"/>
    <w:rsid w:val="0083161E"/>
    <w:rsid w:val="00833A22"/>
    <w:rsid w:val="00835C92"/>
    <w:rsid w:val="00835F96"/>
    <w:rsid w:val="00852238"/>
    <w:rsid w:val="00856B0F"/>
    <w:rsid w:val="0085766B"/>
    <w:rsid w:val="008768AD"/>
    <w:rsid w:val="00885EEC"/>
    <w:rsid w:val="008954EB"/>
    <w:rsid w:val="008A468D"/>
    <w:rsid w:val="008B121B"/>
    <w:rsid w:val="008C0797"/>
    <w:rsid w:val="008C1C6C"/>
    <w:rsid w:val="008C27C3"/>
    <w:rsid w:val="008C5C03"/>
    <w:rsid w:val="008F275D"/>
    <w:rsid w:val="0090734D"/>
    <w:rsid w:val="0091297E"/>
    <w:rsid w:val="0091513F"/>
    <w:rsid w:val="00915791"/>
    <w:rsid w:val="00922E6E"/>
    <w:rsid w:val="009231B8"/>
    <w:rsid w:val="009311A0"/>
    <w:rsid w:val="009518E1"/>
    <w:rsid w:val="00957075"/>
    <w:rsid w:val="00957D47"/>
    <w:rsid w:val="0096260C"/>
    <w:rsid w:val="009626F4"/>
    <w:rsid w:val="009741BF"/>
    <w:rsid w:val="009766D1"/>
    <w:rsid w:val="00986172"/>
    <w:rsid w:val="009A050F"/>
    <w:rsid w:val="009B7781"/>
    <w:rsid w:val="009C3E56"/>
    <w:rsid w:val="009E0289"/>
    <w:rsid w:val="009F21B2"/>
    <w:rsid w:val="009F5CB1"/>
    <w:rsid w:val="00A00AA3"/>
    <w:rsid w:val="00A17C4A"/>
    <w:rsid w:val="00A36257"/>
    <w:rsid w:val="00A40985"/>
    <w:rsid w:val="00A505C7"/>
    <w:rsid w:val="00A679D7"/>
    <w:rsid w:val="00A77C23"/>
    <w:rsid w:val="00A828D1"/>
    <w:rsid w:val="00AA2BAE"/>
    <w:rsid w:val="00AB105E"/>
    <w:rsid w:val="00AC0280"/>
    <w:rsid w:val="00AC1D1F"/>
    <w:rsid w:val="00AC45EA"/>
    <w:rsid w:val="00AD0F37"/>
    <w:rsid w:val="00AD1986"/>
    <w:rsid w:val="00AE150A"/>
    <w:rsid w:val="00AF2517"/>
    <w:rsid w:val="00AF52C6"/>
    <w:rsid w:val="00AF60D2"/>
    <w:rsid w:val="00B03B8C"/>
    <w:rsid w:val="00B04944"/>
    <w:rsid w:val="00B07AD3"/>
    <w:rsid w:val="00B246DA"/>
    <w:rsid w:val="00B259E6"/>
    <w:rsid w:val="00B36F7F"/>
    <w:rsid w:val="00B527B1"/>
    <w:rsid w:val="00B64620"/>
    <w:rsid w:val="00B95D2B"/>
    <w:rsid w:val="00BA032A"/>
    <w:rsid w:val="00BA35FB"/>
    <w:rsid w:val="00BB38F0"/>
    <w:rsid w:val="00BB48FE"/>
    <w:rsid w:val="00BC11CB"/>
    <w:rsid w:val="00BD014B"/>
    <w:rsid w:val="00BD076F"/>
    <w:rsid w:val="00BD7D7C"/>
    <w:rsid w:val="00BE229B"/>
    <w:rsid w:val="00C05837"/>
    <w:rsid w:val="00C05CF6"/>
    <w:rsid w:val="00C1551F"/>
    <w:rsid w:val="00C17086"/>
    <w:rsid w:val="00C3389A"/>
    <w:rsid w:val="00C348E1"/>
    <w:rsid w:val="00C35071"/>
    <w:rsid w:val="00C5489A"/>
    <w:rsid w:val="00C647D5"/>
    <w:rsid w:val="00C73620"/>
    <w:rsid w:val="00C73E9D"/>
    <w:rsid w:val="00C81F7C"/>
    <w:rsid w:val="00C900D2"/>
    <w:rsid w:val="00C940D6"/>
    <w:rsid w:val="00C9539F"/>
    <w:rsid w:val="00CA303D"/>
    <w:rsid w:val="00CA5109"/>
    <w:rsid w:val="00CA7BBA"/>
    <w:rsid w:val="00CB4FB6"/>
    <w:rsid w:val="00CC48CA"/>
    <w:rsid w:val="00CE6246"/>
    <w:rsid w:val="00CE756A"/>
    <w:rsid w:val="00CF4EB0"/>
    <w:rsid w:val="00D00BBF"/>
    <w:rsid w:val="00D01416"/>
    <w:rsid w:val="00D10E1E"/>
    <w:rsid w:val="00D1330E"/>
    <w:rsid w:val="00D35019"/>
    <w:rsid w:val="00D42B29"/>
    <w:rsid w:val="00D62DB6"/>
    <w:rsid w:val="00D63B44"/>
    <w:rsid w:val="00D73BC2"/>
    <w:rsid w:val="00D75F5A"/>
    <w:rsid w:val="00D85652"/>
    <w:rsid w:val="00D95BDD"/>
    <w:rsid w:val="00DA2D82"/>
    <w:rsid w:val="00DB202D"/>
    <w:rsid w:val="00DE1197"/>
    <w:rsid w:val="00DE354F"/>
    <w:rsid w:val="00DE5F49"/>
    <w:rsid w:val="00E049BB"/>
    <w:rsid w:val="00E05430"/>
    <w:rsid w:val="00E10261"/>
    <w:rsid w:val="00E12133"/>
    <w:rsid w:val="00E179B1"/>
    <w:rsid w:val="00E26A3D"/>
    <w:rsid w:val="00E31913"/>
    <w:rsid w:val="00E45FCB"/>
    <w:rsid w:val="00E57AAC"/>
    <w:rsid w:val="00E627D4"/>
    <w:rsid w:val="00E64F4D"/>
    <w:rsid w:val="00E71531"/>
    <w:rsid w:val="00E71591"/>
    <w:rsid w:val="00E7718E"/>
    <w:rsid w:val="00EA2A85"/>
    <w:rsid w:val="00EB3F61"/>
    <w:rsid w:val="00EC62DE"/>
    <w:rsid w:val="00ED2CC9"/>
    <w:rsid w:val="00ED5AA5"/>
    <w:rsid w:val="00ED66C2"/>
    <w:rsid w:val="00EE149C"/>
    <w:rsid w:val="00EE6307"/>
    <w:rsid w:val="00EE640D"/>
    <w:rsid w:val="00EF0A34"/>
    <w:rsid w:val="00EF2C74"/>
    <w:rsid w:val="00EF5B8A"/>
    <w:rsid w:val="00F012F7"/>
    <w:rsid w:val="00F03847"/>
    <w:rsid w:val="00F102DC"/>
    <w:rsid w:val="00F218C5"/>
    <w:rsid w:val="00F3512A"/>
    <w:rsid w:val="00F36574"/>
    <w:rsid w:val="00F55E5A"/>
    <w:rsid w:val="00F8262C"/>
    <w:rsid w:val="00F929E8"/>
    <w:rsid w:val="00F9423D"/>
    <w:rsid w:val="00F959F2"/>
    <w:rsid w:val="00FB4BC3"/>
    <w:rsid w:val="00FB5B41"/>
    <w:rsid w:val="00FC1BA2"/>
    <w:rsid w:val="00FC5526"/>
    <w:rsid w:val="00FC6BBC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59A43-1C47-4343-8797-8403A59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316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310" TargetMode="External"/><Relationship Id="rId17" Type="http://schemas.openxmlformats.org/officeDocument/2006/relationships/image" Target="media/image7.jpg"/><Relationship Id="rId25" Type="http://schemas.openxmlformats.org/officeDocument/2006/relationships/hyperlink" Target="http://baguzin.ru/wp/?p=528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://baguzin.ru/wp/?p=531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aguzin.ru/wp/?p=248" TargetMode="External"/><Relationship Id="rId22" Type="http://schemas.openxmlformats.org/officeDocument/2006/relationships/image" Target="media/image12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6A553-0D04-4DD6-934D-63C8633B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Багузин</dc:creator>
  <cp:keywords/>
  <dc:description/>
  <cp:lastModifiedBy>Сергей Багузин</cp:lastModifiedBy>
  <cp:revision>5</cp:revision>
  <cp:lastPrinted>2013-07-27T08:16:00Z</cp:lastPrinted>
  <dcterms:created xsi:type="dcterms:W3CDTF">2013-07-27T08:43:00Z</dcterms:created>
  <dcterms:modified xsi:type="dcterms:W3CDTF">2013-07-28T07:03:00Z</dcterms:modified>
</cp:coreProperties>
</file>