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6" w:rsidRDefault="00330266" w:rsidP="00330266">
      <w:pPr>
        <w:spacing w:after="240" w:line="240" w:lineRule="auto"/>
        <w:rPr>
          <w:b/>
          <w:sz w:val="28"/>
        </w:rPr>
      </w:pPr>
      <w:r w:rsidRPr="00330266">
        <w:rPr>
          <w:b/>
          <w:sz w:val="28"/>
        </w:rPr>
        <w:t>Дарелл Хафф. Как лгать при помощи статистики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этой всемирно известной книге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автор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рассказывает о различных способах злоупотребления статистикой в целях обмана аудитории и манипулирования ее мнением.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Каждый день на вас пытаются повлиять, чтобы сподвигнуть на покупку какого-то «нужного» продукта или на 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ыбор «правильного» кандидата: «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Благодаря пасте “Чистые зубы” образование кариеса снижается на 23%!»; «Политика N поддерживает 85% граждан»...</w:t>
      </w:r>
    </w:p>
    <w:p w:rsid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понять, наскольк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 достоверны те или иные данные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? Каким образом происходят подсчеты? Что учитывается, а что остается за кадром? Автор раскрывает секретные инструменты статистиков и вооружает читателя знаниями, которые помогут разобраться во всех хитросплетениях этой науки и не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позволят ввести в заблуждение.</w:t>
      </w:r>
    </w:p>
    <w:p w:rsid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Дарелл Хафф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Как лгать при помощи статистики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М.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: </w:t>
      </w:r>
      <w:hyperlink r:id="rId8" w:history="1">
        <w:r w:rsidRPr="00434FF0">
          <w:rPr>
            <w:rStyle w:val="a3"/>
            <w:rFonts w:asciiTheme="minorHAnsi" w:hAnsiTheme="minorHAnsi"/>
            <w:sz w:val="22"/>
            <w:szCs w:val="22"/>
          </w:rPr>
          <w:t>Альпина Паблишер</w:t>
        </w:r>
      </w:hyperlink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2015. — 16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8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905000" cy="3009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Хафф. Как лгать при помощи статистики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F0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когда-то говаривал писатель-юморист Генри Фелсен (весьма далекий от медицины), при должном лечении простуда проходит через семь дней, в противном случае она сама собой пройдет через неделю.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Точно так же обстоят дела со многим из того, что вы читаете и слышите. Средние величины, зависимости, тенденции и графики не всегда есть то, чем кажутся. Подчас в них таится много больше интересного, чем видно на первый взгляд, а иногда и куда как меньше.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Эта книга — своего рода руководство для начинающих, в котором изложены азы примен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ения статистики в целях обмана.</w:t>
      </w:r>
    </w:p>
    <w:p w:rsidR="00330266" w:rsidRPr="00434FF0" w:rsidRDefault="00434FF0" w:rsidP="00434FF0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Глава </w:t>
      </w:r>
      <w:r w:rsidR="00330266"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1</w:t>
      </w:r>
      <w:r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. Выбор</w:t>
      </w:r>
      <w:r w:rsidR="00330266"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 изначально необъективна</w:t>
      </w:r>
    </w:p>
    <w:p w:rsidR="00434FF0" w:rsidRDefault="00434FF0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Процедура составления выборки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представляет собой сердцевину большей части статистических данных, которые встречаются в самых разнообразных сферах. Если взятая вами для исследования выборка достаточно велика и правильно отобрана, то для большинства надобностей она будет вполне репрезентативной. В противном случае выборка даст вам значительно менее точное представление о целом, чем сколько-нибудь обоснованные прикидки, а ее единственным достоинством будет разве что иллюзорно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 впечатление научной точности.</w:t>
      </w:r>
    </w:p>
    <w:p w:rsidR="00434FF0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Результат выборочного исследования не может быть лучше выборки, на которой оно основано. К тому моменту, когда собранные данные, пройдя сквозь все процедуры статистических манипуляций, сведены к средним показателям, выраженным с точностью до десятых долей, они уже приобретают некий ореол убедительности, от которой не останется и следа, если повнимательнее взглянуть на сам процесс выборочного исследования.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 данные выборочного исследования имели значительную ценность, они должны основываться на репрезентативной выборке, то есть на выборке, из которой устранены все во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зможные источники предвзятости.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Полезно помнить и о т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ом, что скрытые источники необъ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ективности способны с такой же легкостью подорвать надежность выборки, как и очевидные. Я имею в виду, что, даже если вам не удается обнаружить явный источник необъективности, позвольте себе некоторую долю сомнений и не доверяйте выводам безоговорочно, если имеется хоть какая-то вероятность, что они предвзяты.</w:t>
      </w:r>
    </w:p>
    <w:p w:rsidR="00330266" w:rsidRPr="00330266" w:rsidRDefault="00434FF0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авайте вернемся в 1936 г., к временам, когда влиятельнейший журнал Literary Digest,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общепризнанный в то время лидер изучения предпочтений американских избирателей, потерпел приснопамятное фиаско. Те десять миллионов опрошенных телефонных абонентов и подписчиков Literary Digest, которые уверили редакцию злополучного журнала, что победителем в президентской гонки выйдет республиканец Альфред Лэндон с 370 голосами выборщиков против 161 голоса за Франклина Рузвельта, были из того же списка рассылки, каким журнал воспользовался в 1932 г., когда блестяще предсказал итоги президентских выборов.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Разве можно было заподозрить в предвзятости людей из списка, который в прошлом так хорошо себя зарекомендовал? Но, разумеется, предвзятость имела место, и список был нерепрезентативен, что и установили авторы диссертаций и прочие любители изысканий постфактум. Контингент населения, который в 1936 г. мог себе позволить иметь телефон и подписываться на Literary Digest, не был срезом всей совокупности избирателей. В экономическом плане это была особая категория населения, то есть нерепрезентативная выборка, поскольку она изобиловала теми, кто поддерживал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Республиканскую партию. Данная выборка и отдала предпочтение Лэндону, тогда как избиратели в массе своей имели другое мнение на этот счет.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Проверить, действительно ли выборка имеет случайный (произвольный) характер, можно с помощью такого вопроса: каждое ли имя или предмет из обследуемой совокупности имеют равный шанс попасть в выборку?</w:t>
      </w:r>
    </w:p>
    <w:p w:rsidR="00434FF0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представляется, сильнодействующим фактором будет тенденция, которую никогда не следует сбрасывать со счетов, когда знакомишься с результатами социологических опросов: желание ре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спондента угодить интервьюеру.</w:t>
      </w:r>
    </w:p>
    <w:p w:rsidR="00330266" w:rsidRPr="00330266" w:rsidRDefault="00434FF0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нас достаточно оснований сделать предположить, что все социологические опросы в целом грешат предвзятостью. Это крен в сторону людей более состоятельных, более образованных, более информированных и осторожных, с более пристойным внешним видом, общепринятым поведением и с более устоявшимися привычками, чем у того среднестатистического гражданина, представлять которого их выбрали.</w:t>
      </w:r>
    </w:p>
    <w:p w:rsidR="00330266" w:rsidRPr="00434FF0" w:rsidRDefault="00434FF0" w:rsidP="00434FF0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Глава 2. </w:t>
      </w:r>
      <w:r w:rsidR="00330266" w:rsidRPr="00434FF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Грамотно выбранное среднее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вам рассказывают, что некое число представляет собой среднюю величину, это мало о чем вам скажет, пока вы не разберетесь, какой из трех основных видов среднего перед вами — среднее арифметическое, медиана или мода.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мне требовался показатель побольше, я упомянул $15 000. Это было простое среднее, то есть среднее арифметическое доходов всех семей, проживающих в той местности. Для его расчета требуется сложить доходы всех семей и разделить получившуюся сумму на число семей. Спустя год я воспользовался средним показателем меньшей величины — он представляет собой медиану и означает, что половина семей в рассматриваемой местности имеет годовой доход выше $3500, а вторая половина — ниже $3500. Я мог бы пустить в ход и моду, то есть чаще всего встречающееся значение в числовом ряду, составленном из доходов семей в интересующей нас местности. Если у большей части проживающих там семей годовой доход составляет $5000, это значение и будет модой, или модальным доходом.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Разные виды среднего имеют близкие значения, когда дело касается данных наподобие тех, что относятся ко многим характеристикам человека. Они настолько любезны, что изволят тяготеть к тому, что называется нормальным распределением. Если начертить кривую нормального распределения, то по форме она будет напоминать колокол, а среднее арифметическое значение, медиана и мода попадут в одну и ту же точку.</w:t>
      </w:r>
    </w:p>
    <w:p w:rsidR="00434FF0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 все совсем не так, когда стоит задача описать размер их доходов. Порядка 95% всех показателей будут ниже, чем $10 000, и они займут место в левой части кривой. В итоге вместо симметричной, как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колокол, кривой вы получите кривую, скошенную в одну сторону. С одной стороны — крутая горка, с другой — постепенный плавный спуск. Среднее арифметическое окажется на некотором расстоянии от мед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ианы.</w:t>
      </w:r>
    </w:p>
    <w:p w:rsid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 уж получилось, что большинство ваших соседей — мелкие фермеры, наемные работники в близлежащем поселке или люди, отошедшие от дел и живущие на пенсию. Однако трое — миллионеры, они наведываются в здешние дома только по выходным, и именно за счет их миллионов суммарный годовой доход по вашей округе достигает такой значительной величины (и,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соответственно, неимоверно уве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личивает средний арифметический доход жителей). Из-за этих троих показатель среднего дохода приобретает огромный размер, какого и близко не имеет почти никто из остальных жителей местности. Это тот самый случай, когда шутка «Практически все имеют доход ниже среднего» становится реальностью</w:t>
      </w:r>
      <w:r w:rsidR="00434FF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434FF0" w:rsidRDefault="00434FF0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182719" cy="6512119"/>
            <wp:effectExtent l="0" t="0" r="889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. Виды среднего знач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76" cy="654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F0" w:rsidRPr="00330266" w:rsidRDefault="00434FF0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1. Виды среднего значения</w:t>
      </w:r>
    </w:p>
    <w:p w:rsidR="00330266" w:rsidRPr="008F7DF9" w:rsidRDefault="00330266" w:rsidP="008F7DF9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</w:t>
      </w:r>
      <w:r w:rsidR="008F7DF9"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лава</w:t>
      </w: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3</w:t>
      </w:r>
      <w:r w:rsidR="008F7DF9"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Нюансы, о которых скромно умалчивают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«Потребители отмечают, что благодаря зубной пасте компании Doakes у них образуется на 23% меньше кариеса», — гласит набранный аршинными буквами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заголовок. П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очему компании Doakes так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легко удалось, не прибегая к вранью, добиться широкого освещения в прессе, да еще и подкрепить все это заключениями независимых экспертов. Предположим, некая немногочисленная группа потребителей в течение полугода ведет учет состояния своих зубов, а потом переключается на пасту от Doakes. Далее можно ожидать одного из трех вариантов: кариеса станет больше, кариеса станет ощутимо меньше или никаких изменений не последует. Если события пойдут по первому или последнему варианту, производитель пасты просто зафиксирует эти показатели (где-нибудь у себя, вдали от глаз общественности) и предпримет новые попытки. Рано или поздно в дело вмешается случ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ай, и у испытуемых зафиксируют-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таки значительное улучшение, достойное газетных заголовков, а то и целой рекламной кампании. И случится это независимо от того, пользуются ли испытуемые пастой Doakes, питьевой содой или своим привычным средством по уходу за зубами.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Малочисленную группу испытуемых важно задействовать вот почему: при многочисленной группе любой случайный сдвиг в лучшую сторону будет, скорее всего, довольно скромным и потому н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 заслужит упоминания в прессе. Т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олько при достаточно большом количестве попыток закон средних чисел позволяет получить значимую характеристику или прогноз.</w:t>
      </w:r>
    </w:p>
    <w:p w:rsidR="008F7DF9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Должен ли каждый из нас стать сам себе статистиком и лично изучать исходные данные любого исследования? В принципе, все не так уж плохо, тем более что есть такая штука, как критерий значимости, суть которого несложно понять. Это просто способ показать, насколько вероятно, что полученная в ходе испытаний цифра отражает реальный результат, а не что-то случайное. Это тот самый нюанс, о котором обычно умалчивают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Степень значимости проще всего выразить в виде вероятности, как это делает Бюро переписи населения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Есть еще одного сорта нюанс, который предпочитают не указывать, но его отсутствие способно не меньше дискредитировать заявленные данные. Речь идет о размахе исследуемого признака или диапазоне отклонения от указанного среднего. Часто бывает, что среднее представляет собой такое чрезмерное упрощение, что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оно даже хуже, чем бесполезно.</w:t>
      </w:r>
    </w:p>
    <w:p w:rsidR="008F7DF9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Сходным образом мелкие опущенные детали в труде под названием «Нормы развития Гезелла» ввергли в панику папочек и мамочек. Дай только родителю прочитать раздел, где говорится, что в возрасте стольких-то месяцев ребенку уже полагается сидеть, и он сейчас же примерит это к собственному малышу. А поскольку примерно половина детей к указанному возрасту все еще не научилась сидеть, это сделало несчаст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ными многих и многих родителей.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Этого недоразумения во многом удалось бы избежать, если бы наряду с показателем «нормы» или среднего значения был бы указан диапазон этой самой нормы. Тогда родители увидели бы, что их дети попадают в пределы нормы и прекратили бы беспокоиться по поводу мелких и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ничего не значащих отклонений.</w:t>
      </w:r>
    </w:p>
    <w:p w:rsidR="008F7DF9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доверяйте показателям, графикам и тенденциям, когда вам предъявляют их без тех важных цифр, что могли бы прояснить смысл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2)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8F7DF9" w:rsidRDefault="008F7DF9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810000" cy="22574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2. «Слепой» графи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F9" w:rsidRDefault="008F7DF9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2. «Слепой» график</w:t>
      </w:r>
    </w:p>
    <w:p w:rsidR="00330266" w:rsidRPr="008F7DF9" w:rsidRDefault="00330266" w:rsidP="008F7DF9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</w:t>
      </w:r>
      <w:r w:rsidR="008F7DF9"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лава</w:t>
      </w: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4</w:t>
      </w:r>
      <w:r w:rsidR="008F7DF9"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Много шума практически из ничего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Питер и Линда недавно прошли тест на уровень умственного развития. В наши дни из всякого рода тестов на умственные способности сотворили прямо-таки фетиш и разводят вокруг них шаманские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пляски.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 выяснили, что у Питера коэффициент умственного развития (IQ) составил 98, а у Линды — 101. А вам, разумеется, известно, что в тесте на IQ коэффициент 100 принят за средний, то есть нормальный уровень.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Ага. Линда у нас одареннее Питера. Это означает, что ее умственное развитие выше среднего. А у Питера — ниже среднего, но не будем придавать этому особого значения. </w:t>
      </w:r>
    </w:p>
    <w:p w:rsidR="008F7DF9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То, насколько точной может считаться ваша выборка, призванная дать представление обо все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совокупности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есть мера, которую можно выразить количественно: это вероятная ошибка и стандартная ошибка.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ероятная ошибка теста на IQ определяется как 3%. Это ни в коей мере не говорит о том, насколько в основе своей хорош данный тест, а просто указывает, с какой надежностью он измеряет то, что призван измерять. Итак, определенный у Питера IQ можно было бы полнее выразить в виде 98±3, а коэффициент IQ Линды — в виде 101±3.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 означает, что у IQ Питера равные шансы оказаться где-то в диапазоне от 95 до 101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Аналогично и у Линды вероятность попасть в интервал от 98 до 104 ничуть не луч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ше, чем пятьдесят на пятьдесят.</w:t>
      </w:r>
    </w:p>
    <w:p w:rsidR="008F7DF9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Все сказанное подводит нас к тому выводу, что единственно правильным будет рассматривать IQ и результаты многих других выборочных исследований не сами по себе, а с учетом размаха отклонений. Тогда «нормальным» будет считаться показатель не 100 пунктов, а в пределах, скажем, от 90 до 110.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роводить сравнения между цифрами, имеющими маленькую разницу, бессмысленно. Вам следует постоянно помнить об этом плюсе или минусе, то есть ошибке в ту или другую сторону, даже (или особенно) если ее пределы не указаны.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Те, кто пренебрегает ошибкой, которая изначально присуща любым исследованиям на основе выборки, рискуют совершит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ь поразительно глупые поступки.</w:t>
      </w:r>
    </w:p>
    <w:p w:rsidR="00330266" w:rsidRPr="00330266" w:rsidRDefault="008F7DF9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Журнал Reader’s Digest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опубликовал на своих страницах результаты исследований, показывающие, сколько никотина и всякого прочего содержится в дыме сигарет разных марок. Вывод, который сделал журнал и который явно следовал из подробно расписанных результатов, состоял в том, что все марки сигарет практически одинаковы по содержанию вредных веществ и потому не имеет никакого значения, сигареты какой марки вы курите.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 нашелся кое-кто, чей зоркий глаз заприметил кое-что интересное. В перечнях содержания вредных веществ, почти одинаковых для всех сигаретных марок, какая-то одна волей- неволей должна была оказаться в самом конце, и этой маркой была Old Gold. Вот оно! </w:t>
      </w:r>
      <w:r w:rsidR="008F7DF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страницах всех газет разом появились рекламные объявления, что из всех марок сигарет, протестированных не кем-нибудь, а крупнейшим общенациональным журналом Reader’s Digest, дым сигарет Old Gold содержит меньше всего вредных веществ. При этом в рекламе отсутствовали какие бы то ни было цифры или хотя бы намеки, что разница между марками сигарет ничтожна.</w:t>
      </w:r>
    </w:p>
    <w:p w:rsidR="008F7DF9" w:rsidRPr="008F7DF9" w:rsidRDefault="008F7DF9" w:rsidP="008F7DF9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8F7DF9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Глава 5. График – лучше не бывает</w:t>
      </w:r>
    </w:p>
    <w:p w:rsidR="004A653A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Пожалуй, простейшей разновидностью статистической картинки или графика будут всевозможные кривые. Они весьма полезны, когда нужно продемонстрировать те или иные тенденции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Сейчас мы сделаем так, что наш график наглядно покажет, как национальный доход США ежегодно увеличивается на 10%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3)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4A653A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967368" cy="2814761"/>
            <wp:effectExtent l="0" t="0" r="4445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3. «Честный» график, на котором цифры (10%-ный рост) и визуальный ряд совпадаю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74" cy="28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3A" w:rsidRPr="00330266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3. «Честный» график, на котором цифры (10%-ный рост) и визуальный ряд совпадают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Всякий сможет посмотреть и сразу понять, что к чему, поскольку график выполнен с соблюдением пропорций и внизу для сравнения имеется линия нулевой отметки. Ваши 10% выглядят именно как 10% — как восходящая тенденция, существенная, хотя и не сказать, чтобы такая уж впечатляющая.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Этого вполне достаточно, если ваша задача только в том, чтобы передать информацию. А давайте предположим, что вы хотите одержать верх в споре, потрясти читателей, побудить их к действию или что-то им продать. Но для этого вашему графику не хватает забористости, как-то он не впечатляет. А вы возьмите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да и отрежьте нижнюю часть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4)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30266" w:rsidRPr="00330266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957830" cy="887350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4. Отсутствие точки отсчета (нуля ординат) делает рост более впечатляющи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236" cy="9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66" w:rsidRPr="00330266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4. Отсутствие точки отсчета (нуля ординат) делает рост более впечатляющим</w:t>
      </w:r>
    </w:p>
    <w:p w:rsidR="004A653A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Ну вот, уже лучше.</w:t>
      </w:r>
    </w:p>
    <w:p w:rsidR="004A653A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Есть один хитрый трюк, который придаст вашему скромному десятипроцентному росту такой шикарный вид, какой не полагается и стопроцентному. Просто измените пропорции меж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ду осью ординат и осью абсцисс (рис. 5).</w:t>
      </w:r>
    </w:p>
    <w:p w:rsidR="004A653A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957886" cy="2780413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5. Изменение масштаба по оси ординат делает 10%-ный рост впечатляющи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19" cy="278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3A" w:rsidRDefault="004A653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5. Изменение масштаба по оси ординат делает 10%-ный рост впечатляющим</w:t>
      </w:r>
    </w:p>
    <w:p w:rsidR="00330266" w:rsidRPr="004A653A" w:rsidRDefault="004A653A" w:rsidP="004A653A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4A653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lastRenderedPageBreak/>
        <w:t xml:space="preserve">Глава 6. </w:t>
      </w:r>
      <w:r w:rsidR="00330266" w:rsidRPr="004A653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Схематичная картинка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Наглядной подачей информации называют графики или диаграммы, на которых фигурка человечка изображает миллион человек. Она помещается рядом с кучей денег на тысячу или миллиард </w:t>
      </w:r>
      <w:r w:rsidR="00A9290A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долларов,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 контурным рисунком бычка, показывающим, сколько говядины вы потребите в следующем году. Это вещь полезная. И, боюсь, она радует глаз. Но наглядная графика способна стать красноречивым, нечистым на руку и не знающим поражений лжецом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(сейчас используют термин </w:t>
      </w:r>
      <w:r w:rsidR="004A653A" w:rsidRPr="004A653A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инфографика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FB765D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Породила наглядную графику, или пиктограмму, обычная столбиковая диаграмма</w:t>
      </w:r>
      <w:r w:rsidR="004A653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Столбиковая диаграмма тоже умеет врать. Убедиться в этом легко. Достаточно повнимательнее взглянуть на любой образец такой диаграммы, где столбики увеличиваются и в ширину, и в высоту, хотя и отображают одномерный фактор, или</w:t>
      </w:r>
      <w:r w:rsidR="00FB765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когда изображаются трехмерные объекты, объемы кот</w:t>
      </w:r>
      <w:r w:rsidR="00FB765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орых трудно с ходу сопоставить.</w:t>
      </w:r>
    </w:p>
    <w:p w:rsidR="00FB765D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Предположим, мне понадобилось бы показать, как соотносятся две величины — средний недельный заработок плотников в США и в какой-нибудь, скажем, Ротундии. Цифры эти могли бы соста</w:t>
      </w:r>
      <w:r w:rsidR="00FB765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влять $60 и $30 соответственно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7836BA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 вот и моя гистограмма: по вертикальной оси отложена величина недельного заработка в долларах. Картина ясная и правдиво показывает положение дел. Столбик на диаграмме, отображающий вдвое большую сумму, вдвое больше по 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размеру, таковым он и выглядит</w:t>
      </w:r>
      <w:r w:rsidR="00FB765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6).</w:t>
      </w:r>
    </w:p>
    <w:p w:rsidR="00FB765D" w:rsidRDefault="00FB765D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333750" cy="2181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6. Столбиковая диаграмма (гистограмма) «честно» отражает 2-кратное превосходств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5D" w:rsidRDefault="00FB765D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6. Столбиковая диаграмма (гистограмма) «честно» отражает 2-кратное превосходство</w:t>
      </w:r>
    </w:p>
    <w:p w:rsidR="00330266" w:rsidRDefault="007836B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место столбиков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использ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овать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другой графический объект, который лучше всего ассоциируется со звонкой монетой — мешки с деньгами.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исунок по-прежнему будет правдив и ясен, а беглый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взгляд на него никого не введет в заблуждение. Таким способом и создаются честные пиктограммы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7)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7836BA" w:rsidRDefault="007836B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333750" cy="15144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7. Честная пиктограмма, мешки одинаковые, но для США их в два раза больш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Pr="00330266" w:rsidRDefault="007836B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7. Честная пиктограмма: мешки одинаковые, но для США их в два раза больше</w:t>
      </w:r>
    </w:p>
    <w:p w:rsidR="007836BA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 правде говоря, я хочу навести вас на определенную мысль, создать у вас преувеличенное впечатление от моих данных, но при этом мне вовсе не хочется, чтобы меня уличили в подтасовке. А делается это так: сначал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я нарисую мешок денег, изобра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жающий тридцатидолларовый недельный заработок плотника в Ротундии, а затем нарисую второй мешок, размерами вдвое больше, и он будет изображать $60, которые зарабатывает за неделю американский плотник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8)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Пропорция соблюдена, не правда ли? Такая диаграмма создает как раз то впечатление, к которому я стремился. Рядом с внушительным мешком денег, которые зарабатывает американский плотник, заработок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иностранца выглядит особенно ничтожным и жалким.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этом, разумеется, и состоит подвох. 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торой мешок в два раза выше первого, он еще и в два раза шире. И на бумаге он занимает не </w:t>
      </w:r>
      <w:r w:rsidR="007836B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вдвое, а вчетверо больше места.</w:t>
      </w:r>
    </w:p>
    <w:p w:rsidR="007836BA" w:rsidRDefault="007836B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333750" cy="1781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8. «Нечестная» пиктограмма, мешок в два раза выше и в два раза шире, т.е. в четыре раза больш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BA" w:rsidRDefault="007836BA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8. «Нечестная» пиктограмма: мешок в два раза выше и в два раза шире, т.е. в четыре раза больше</w:t>
      </w:r>
    </w:p>
    <w:p w:rsidR="00330266" w:rsidRPr="007836BA" w:rsidRDefault="00330266" w:rsidP="007836BA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</w:t>
      </w:r>
      <w:r w:rsidR="007836BA"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лава</w:t>
      </w:r>
      <w:r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7</w:t>
      </w:r>
      <w:r w:rsidR="007836BA"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Псевдообоснованная</w:t>
      </w:r>
      <w:r w:rsidR="007836BA"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7836B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цифра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Привязать цифру, отражающую какой-то факт, к другому факту — прием известный и всегда сослужит вам добрую службу. Допустим, вы не можете доказать, что ваше замечательное лекарство излечивает от простуды, но никто не мешает вам напечатать (крупным шриф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том) результаты настоящего лабо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раторного исследования: полкапли лекарства, помещенные в пробирку, через 11 секунд уничтожают 31 108 бактерий. Не уточн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яйте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бактерии какого рода пали жертвой вашего средства. Кто ж его знает, какие бактерии вызывают простуду, особенно если возбудители простуды — вовсе не бактерии?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Изучая статистику аварий, вы можете запугать себя до смерти относительно любого вида транспорта... если не сообразите, насколько некорректно привязаны приводимые цифры к явлениям, которые они призваны характеризовать.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1953 г. в авиакатастрофах погибло больше людей, чем в 1910 г. Должен ли отсюда следовать вывод, что авиаперелеты стали более опасны? Чепуха. Просто люди стали летать в сотни раз больше, чем раньше, вот и всё.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Определить степень вероятного риска позволят данные о количестве смертельных жертв на миллион пассажиро</w:t>
      </w:r>
      <w:r w:rsidR="00A9290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миль по каждому из вид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транспорта. Эти показатели точнее других подскажут вам, на каком виде транспорта вы больше всего рискуете жизнью.</w:t>
      </w:r>
    </w:p>
    <w:p w:rsidR="00330266" w:rsidRPr="00330266" w:rsidRDefault="00330266" w:rsidP="00BD573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качестве начальника отдела кадров компании, у которой возникли трения с профсоюзом, вы «проводите опрос» сотрудников, чтобы выяснить, у скольких из них имеются жалобы на профсоюз. Если только сам профсоюз не есть сборище ангелов, можете спокойно задавать свой вопрос и честно записывать ответы, а потом представить это за доказательство, что у большинства сотрудников действительно есть какие-то жалобы. На основе собранных данных вы составляете доклад, где говорится, что «подав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ляющее большинство (78%) сотруд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ников настроены против профсоюза». По сути вы сделали вот что: собрали в одну кучу все без разбора жалобы и мелкие конфликты, а затем выдали их за нечто другое, что выглядит примерно так же. Со своей стороны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профсоюз может с такой же легкостью «доказать», что практически все сотрудники возражают против порядка управления компанией.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Любую количественную величину несложно выразить множеством разнообразных способов. Вы можете, например, представить один и тот же факт, называя его доходностью продаж в 1%, рентабельностью инвестиций в 15%, десятимиллионной прибылью, ростом прибылей на 40% (по сравнению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 средним показателем за 1935–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1939 гг.) или сокращением на 60% по сравнению с предыдущим годом. Суть в том, чтобы выбрать формулировку, которая лучше всего подходит для текущих надобностей. А после остается уповать на то, что лишь единицы, читая эту информацию, сообразят, насколько она искажает реальное положение дел.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Уровень смертности в военно-морском флоте США в период Испано-Американской войны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1898 г.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 составлял девять человек на тысячу. За тот же период уровень смертности среди гражданского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населения Нью-Йорка достигал шестнадцати человек на тысячу. Позже эти цифры использовали вербовщики, чтобы показать: служить в ВМС безопаснее, чем находиться за его пределами. Допустим, что сами эти цифры точны (вероятно, так оно и есть). Давайте остановимся на мгновение и проверим, сообразите ли вы, что лишает практически всякого смысла сами эти цифры, или хотя бы заключение, которое выводили из них вербовщики.</w:t>
      </w:r>
    </w:p>
    <w:p w:rsidR="00BD573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Все дело в том, что группы, к которым относятся вышеуказанные цифры, несопоставимы. В рядах ВМС служат главным образом молодые мужчины, признанные здоровыми. Гражданское же население состоит среди прочего из малых детей, стариков и больных, и для этих категорий населения уровень смертности 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выше, где бы они ни находились.</w:t>
      </w:r>
    </w:p>
    <w:p w:rsidR="00330266" w:rsidRPr="00330266" w:rsidRDefault="00BD573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Картинки «было — стало»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представля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ю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 собой знакомый всем нам по журнальным статьям и рекламе трюк.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Например,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пара картинок показывает вам, что бывает, когда юная особа начинает применять ополаскиватель для волос. И — бог ты мой! — ее шевелюра действительно выглядит значительно лучше после, чем до. Но при внимательном изучении вы замечаете, что перемен добились главным образом за счет того, что девушку заставили улыбнуться, а ее волосы сзади подсвечены ярким светом. Тут скорее следует отдать должное мастерству фотографа, чем чудодейственной силе ополаскивателя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9)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30266" w:rsidRDefault="00BD573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307743" cy="286119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9. До и посл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12" cy="28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36" w:rsidRPr="00330266" w:rsidRDefault="00BD573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9. До и после</w:t>
      </w:r>
    </w:p>
    <w:p w:rsidR="00330266" w:rsidRPr="00BD5736" w:rsidRDefault="00330266" w:rsidP="00BD5736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BD573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</w:t>
      </w:r>
      <w:r w:rsidR="00BD5736" w:rsidRPr="00BD573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лава</w:t>
      </w:r>
      <w:r w:rsidRPr="00BD573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8</w:t>
      </w:r>
      <w:r w:rsidR="00BD5736" w:rsidRPr="00BD573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BD573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И снова это «после — значит вследствие»</w:t>
      </w:r>
    </w:p>
    <w:p w:rsidR="00BD5736" w:rsidRDefault="00BD573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Существует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одно заблуждени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е,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древнее как мир: если событие В следует за событием А, значит, событие А является причиной события В.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Однако, из корреляции между А и В не следует, ни того, что А причина В, ни, наоборот, того, что В причина А.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Представляется куда более вероятным, что ни одно из этих двух явлений не обусловливает другого. Скорее оба они следст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вие какого-то третьего фактора.</w:t>
      </w:r>
    </w:p>
    <w:p w:rsidR="00BD573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Существует корреляция, обусловленная случайными причинами. Возможно, у вас получилось установить корреляцию между двумя рядами чисел, чтобы доказать некое маловероятное утверждение. Но если вы снова попробуете проделать расчет, но уже на других цифрах, никакого доказательства не получится. 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Вспомните историю про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зубн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ую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паст</w:t>
      </w:r>
      <w:r w:rsidR="00BD573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у из главы </w:t>
      </w:r>
      <w:r w:rsidR="002317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3.</w:t>
      </w:r>
    </w:p>
    <w:p w:rsidR="00330266" w:rsidRPr="00330266" w:rsidRDefault="00BD573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Другой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случай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— взаимосвязь действительно существует, но нельзя сказать, какая из переменных выступае</w:t>
      </w:r>
      <w:r w:rsidR="0023178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 причиной, а какая следствием.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Имейте в виду, что корреляция действительно может существовать и притом основываться на реальной причинно-следственной связи — и тем не менее не представлять почти никакой пользы, когда надо определиться с действиями в каком-нибудь конкретном случае.</w:t>
      </w:r>
    </w:p>
    <w:p w:rsidR="00330266" w:rsidRPr="00330266" w:rsidRDefault="0023178E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нувшис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ь с корреляци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ей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убедитесь прежде всего, не того ли она сорта, что образуется под влиянием самого течения событий или стародавних веяний моды. В наши дни легче легкого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продемонстрировать положительную корреляцию между любой парой явлений вроде следующих: количество студентов в университетах, число пациентов в психиатрических больницах, потребление сигарет, частота сердечных заболеваний, использование рентгеновских аппаратов, производство искусственных зубов, зарплаты учителей в Калифорнии, прибыли в игорных домах Невады. Назвать один пункт из этого списка причиной другого пункта будет откровенной глупостью. И тем не менее такое происходит каждый божий день.</w:t>
      </w:r>
    </w:p>
    <w:p w:rsidR="0023178E" w:rsidRPr="0023178E" w:rsidRDefault="0023178E" w:rsidP="0023178E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23178E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Глава 9. Как производить статистикуляции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публику вводят в заблуждение при помощи статистических материалов, это можно назвать статистическими манипуляциями, а если в одно слово (пускай оно и немного неуклюжее), то статистикуляциями.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Проценты предлагают благодатную почву для введения в заблуждение. И подобно цифрам с неизменно впечатляющими десятыми долями, проценты способны придавать вид точности цифрам далеко не точным. В издаваемом Министерством труда США журнале Monthly Labor Review   однажды написали, что на территории Вашингтона в таком-то месяце среди всех предложений по частичной занятости в домашнем хозяйстве (с оплачиваемым проездом к месту работы на общественном транспорте) в 4,9% случаев предлагается оплата $18 в неделю. Как позже выяснилось, указанные проценты были выведены на основе каких-то двух предложений, а в общей сложности таковых было всего-то 41. Выраженный в процентах показатель, если он рассчитан на основе ограниченного числа случаев, скорее всего, искажает реальную картину. Будет полезнее и информативнее привести сами показатели. А уж когда проценты вычисляются и потом подаются с точностью до десятых, знайте, что вы делаете шаг на пути от глупости к жульничеству.</w:t>
      </w:r>
    </w:p>
    <w:p w:rsidR="004554F7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посмотрите на идею,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будто проценты можно складывать с такой же л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егкостью, как яблоки в корзинку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Взгляните только, как убедительно выглядит пример подобного трюка на страницах еженедельного книжного обозрения The New York Times Book Review: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«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Разрыв между растущими ценами на книги и авторскими заработками, как выясняется, обусловлен существенным ростом производственных и 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материальных затрат. Вот по ста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тьям: одни только редакционные и производственные затраты за последние десять лет ощутимо выросли — на 10-12%; расходы на материалы возросли на 6-9%, торговые издержки и расходы на рекламу поднялись на 10%. В общей сложности рост затрат достиг как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минимум 33% (для крупного изда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тельского дома) и почти 40% для ряда издательств меньшего размера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 если каждая из статей, из которых складывается себестоимость данной книги, увеличится примерно на 10%, общие затраты на книгу должны, по идее, </w:t>
      </w:r>
      <w:r w:rsidR="004554F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возрасти примерно на те же 10%.</w:t>
      </w:r>
    </w:p>
    <w:p w:rsidR="00330266" w:rsidRPr="00330266" w:rsidRDefault="004554F7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несколько смахивает на байку про хозяина придорожной харчевни, которого попросили объяснить, как ему удается так дешево продавать сэндвичи с крольчатиной. «Очень просто, — отвечал тот. — Мне приходится добавлять некоторое количество конины. Но я смешиваю их поровну: одна лошадь и один кролик».</w:t>
      </w:r>
    </w:p>
    <w:p w:rsidR="00330266" w:rsidRPr="004554F7" w:rsidRDefault="00330266" w:rsidP="004554F7">
      <w:pPr>
        <w:pStyle w:val="ac"/>
        <w:spacing w:before="36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 w:rsidRPr="004554F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</w:t>
      </w:r>
      <w:r w:rsidR="004554F7" w:rsidRPr="004554F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лава</w:t>
      </w:r>
      <w:r w:rsidRPr="004554F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10</w:t>
      </w:r>
      <w:r w:rsidR="004554F7" w:rsidRPr="004554F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4554F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Как поставить статистика на место</w:t>
      </w:r>
    </w:p>
    <w:p w:rsidR="00252F57" w:rsidRDefault="00252F57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ак смело глядеть в глаза фиктивной статистике и изобличать ее и, что не менее важно, как распознавать добросовестные и полезные данные в непролазных чащобах обмана и фальсификаций, описанию которых главным образ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 и посвящены предыдущие главы? Предлагаю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вам прощупать подозрительные данные с помощью пяти простеньких вопросов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252F57" w:rsidRPr="00330266" w:rsidRDefault="00330266" w:rsidP="00252F5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 э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 го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ворит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?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Первое, на что следует обратить внимание, — это предвзятость статданных. 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заинтересован ли говорящий? Н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ет ли сознательного искажения сведений? Иногда намеренно подменяют точку отсчета. 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ля одного сравнения за основу берется какой-то один год, а для другого сравнения 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— другой год, более подходящий.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упоминается «какое-надо-имя», удостоверьтесь, что авторитет его обладателя дейс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твительно стоит за данной инфор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мацией, а не просто приплетается ради пущей убедительности.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Откуда ему э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 из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вест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но?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Приглядывайтесь, нет ли свидетельств тому, что выборка смещенная, то есть ото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брана ненадлежащим образом или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сформировалась сама собой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(т.е., из заинтересованных лиц)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остаточно ли велика выборка, чтобы на ее основе сделать сколько-нибудь надежный вывод?</w:t>
      </w:r>
    </w:p>
    <w:p w:rsidR="00330266" w:rsidRPr="00330266" w:rsidRDefault="00252F57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lastRenderedPageBreak/>
        <w:t>Чего не хватает</w:t>
      </w:r>
      <w:r w:rsidR="00330266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?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Далеко не всегда сообщают, сколько случаев было взято для изучения. Отсутствия такой цифры достаточно, чтобы бросить тень подозрения на все сообщение в целом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30266"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Будьте начеку, если вам называют среднее без уточнения его вида, во всех случаях, когда можно заподозрить, что среднее арифметическое и медиана существенно различаются.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При сообщении, что такой-то параметр показал динамику 25%, неплохо поинтересоваться, а какая вариабельность свойственна ему в другое время?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Бывает и так, что в источнике приводятся проценты, а стоящие за ними исходные цифры отсутствуют, и это тоже способно ввести в заблуждение. Давным-давно, когда Университет Джонса Хопкинса только начал принимать девушек, некто, не испытывавший особых восторгов по поводу совместного обучения, обнародовал данные, ставшие для многих потрясением: оказывается, 33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,3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% студенток университета повыходили замуж за преподавателей! Однако исходные цифры позволяли точнее оценить картину «бедствия». На тот момент в списке учащихся числились три девушки-студентки, и одна из них действительно вышла замуж за преподавателя.</w:t>
      </w:r>
    </w:p>
    <w:p w:rsidR="00252F57" w:rsidRDefault="00330266" w:rsidP="00252F5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Не подменен ли 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объект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исследования?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="00252F57" w:rsidRP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 произошло ли подмены в процессе перехода от исходных данных к выводам. 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Например,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рост зарегистрированных случаев заболевания — не всегда то же самое, что рост самих с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лучаев заболевания.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Порой возникают и настоящие нелепости, если цифры основываются на том, что говорят сами люди, — даже когда речь идет об объективных вроде бы фактах. Так, перепись населения выявила большее количество людей в возрасте, скажем, 35 лет, чем тех, кому 34 и 36. В подобных случаях картина искажается оттого, что кто-то из членов семьи, сообщая о возрасте домочадцев и не будучи в нем точно уверенным, часто следует привычке округлять года до величины, кратной пяти. Один из способов обойти подобные ошибки — просить, чтобы респонденты называли не возраст, а дату рождения.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Иногда, чтобы подменить объект интереса, практикуют семантический подход. Вот пример подобного со страниц журнала BusinessWeek: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«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Бухгалтеры пришли к выводу, что слово «излишки» выглядит отвратительно. Они предлагают исключить его из балансовых отчетов корпораций. Комитет по учетным процедурам Американского института б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ухгалтеров советует: «...исполь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зуйте описательные термины, такие как “нераспределенная прибыль” или “удорожание основных средств”».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Ес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ть ли в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э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</w:t>
      </w:r>
      <w:r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ом смысл?</w:t>
      </w:r>
      <w:r w:rsidR="00252F57" w:rsidRPr="00252F5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="00252F57" w:rsidRP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ой вопрос почти всегда поставит на место много возомнившего о себе статистика, если все его маловразумительные построения основаны на недоказанном исходном допущении. Возможно, вам приходилось слышать о формуле удобочитаемости Рудольфа Флеша. Считается, что она позволяет измерить, насколько легок для прочтения изложенный прозой текст, при помощи таких простых и объективных параметров, как длина слов и предложений. Эта идея весьма привлекательна, как и прочие</w:t>
      </w:r>
      <w:bookmarkStart w:id="0" w:name="_GoBack"/>
      <w:bookmarkEnd w:id="0"/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подобные ухищрения, придуманные для того, чтобы свести нечто трудноуловимое к цифрам и подменить суждения чистой арифметикой. Формула Флеша строится на допущении, что такие параметры, как длина слов, и определяют удобочитаемость текста.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 допущение, если уж вредничать по полной программе, пока еще только ожидает доказательств</w:t>
      </w:r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(подробнее см. </w:t>
      </w:r>
      <w:hyperlink r:id="rId19" w:history="1">
        <w:r w:rsidR="00252F57" w:rsidRPr="00252F57">
          <w:rPr>
            <w:rStyle w:val="a3"/>
            <w:rFonts w:asciiTheme="minorHAnsi" w:hAnsiTheme="minorHAnsi"/>
            <w:sz w:val="22"/>
            <w:szCs w:val="22"/>
          </w:rPr>
          <w:t>Проверка удобочитаемости текстов по Флешу в Word</w:t>
        </w:r>
      </w:hyperlink>
      <w:r w:rsidR="00252F5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A9290A" w:rsidRDefault="00330266" w:rsidP="00A9290A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3026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Убедительность точных цифр — еще один фактор, порой вступающий в противоречие со здравым смыслом. Согласно исследованию, о котором писали нью-йоркские газеты, работающей женщине, проживающей со своей семьей, еженедельно требуется $40,13. Любой, у кого при чтении газет не атрофируется здравый смысл, способен сообразить, что расходы на поддержание души в теле невозможно рассчитать с точностью до последнего цента. И все равно трудно устоять перед чертовским соблазном уверовать в эту цифру, ведь сама точность этих $40,13 намекает на солидную осведомленность источника и внушает больше уважения, чем формулировка «около $40».</w:t>
      </w:r>
    </w:p>
    <w:p w:rsidR="00A9290A" w:rsidRPr="00330266" w:rsidRDefault="00A9290A" w:rsidP="00A9290A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См. также </w:t>
      </w:r>
      <w:hyperlink r:id="rId20" w:history="1">
        <w:r w:rsidRPr="00A9290A">
          <w:rPr>
            <w:rStyle w:val="a3"/>
            <w:rFonts w:asciiTheme="minorHAnsi" w:hAnsiTheme="minorHAnsi"/>
            <w:sz w:val="22"/>
            <w:szCs w:val="22"/>
          </w:rPr>
          <w:t>Левин. Статистика для менеджеров с использованием Microsoft Excel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hyperlink r:id="rId21" w:history="1">
        <w:r w:rsidRPr="00A9290A">
          <w:rPr>
            <w:rStyle w:val="a3"/>
            <w:rFonts w:asciiTheme="minorHAnsi" w:hAnsiTheme="minorHAnsi"/>
            <w:sz w:val="22"/>
            <w:szCs w:val="22"/>
          </w:rPr>
          <w:t>Идеи Байеса для менеджеров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hyperlink r:id="rId22" w:history="1">
        <w:r w:rsidRPr="00A9290A">
          <w:rPr>
            <w:rStyle w:val="a3"/>
            <w:rFonts w:asciiTheme="minorHAnsi" w:hAnsiTheme="minorHAnsi"/>
            <w:sz w:val="22"/>
            <w:szCs w:val="22"/>
          </w:rPr>
          <w:t>Как с помощью диаграммы приукрасить действительность? или о факторе лжи Эдварда Тафти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30266" w:rsidRPr="00330266" w:rsidRDefault="00330266" w:rsidP="00330266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</w:p>
    <w:sectPr w:rsidR="00330266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4F" w:rsidRDefault="00512D4F" w:rsidP="00C348E1">
      <w:pPr>
        <w:spacing w:after="0" w:line="240" w:lineRule="auto"/>
      </w:pPr>
      <w:r>
        <w:separator/>
      </w:r>
    </w:p>
  </w:endnote>
  <w:endnote w:type="continuationSeparator" w:id="0">
    <w:p w:rsidR="00512D4F" w:rsidRDefault="00512D4F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4F" w:rsidRDefault="00512D4F" w:rsidP="00C348E1">
      <w:pPr>
        <w:spacing w:after="0" w:line="240" w:lineRule="auto"/>
      </w:pPr>
      <w:r>
        <w:separator/>
      </w:r>
    </w:p>
  </w:footnote>
  <w:footnote w:type="continuationSeparator" w:id="0">
    <w:p w:rsidR="00512D4F" w:rsidRDefault="00512D4F" w:rsidP="00C3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15"/>
  </w:num>
  <w:num w:numId="5">
    <w:abstractNumId w:val="14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19"/>
  </w:num>
  <w:num w:numId="12">
    <w:abstractNumId w:val="18"/>
  </w:num>
  <w:num w:numId="13">
    <w:abstractNumId w:val="21"/>
  </w:num>
  <w:num w:numId="14">
    <w:abstractNumId w:val="11"/>
  </w:num>
  <w:num w:numId="15">
    <w:abstractNumId w:val="8"/>
  </w:num>
  <w:num w:numId="16">
    <w:abstractNumId w:val="2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23"/>
  </w:num>
  <w:num w:numId="22">
    <w:abstractNumId w:val="10"/>
  </w:num>
  <w:num w:numId="23">
    <w:abstractNumId w:val="25"/>
  </w:num>
  <w:num w:numId="24">
    <w:abstractNumId w:val="5"/>
  </w:num>
  <w:num w:numId="25">
    <w:abstractNumId w:val="0"/>
  </w:num>
  <w:num w:numId="2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84"/>
    <w:rsid w:val="000107C7"/>
    <w:rsid w:val="00010F61"/>
    <w:rsid w:val="00015D57"/>
    <w:rsid w:val="00016478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6075E"/>
    <w:rsid w:val="000609B1"/>
    <w:rsid w:val="00063438"/>
    <w:rsid w:val="00064F8A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277B"/>
    <w:rsid w:val="001C2C08"/>
    <w:rsid w:val="001D4209"/>
    <w:rsid w:val="001D6316"/>
    <w:rsid w:val="001E0BF5"/>
    <w:rsid w:val="001F21A1"/>
    <w:rsid w:val="00201E5A"/>
    <w:rsid w:val="002039FB"/>
    <w:rsid w:val="00204D03"/>
    <w:rsid w:val="00204FC5"/>
    <w:rsid w:val="00205D42"/>
    <w:rsid w:val="0020706C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76F8"/>
    <w:rsid w:val="002511B1"/>
    <w:rsid w:val="00252F57"/>
    <w:rsid w:val="00253D66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47B6"/>
    <w:rsid w:val="002C6056"/>
    <w:rsid w:val="002C7E97"/>
    <w:rsid w:val="002D0D82"/>
    <w:rsid w:val="002D0FF6"/>
    <w:rsid w:val="002D1FB4"/>
    <w:rsid w:val="002D2FCE"/>
    <w:rsid w:val="002D4BB2"/>
    <w:rsid w:val="002E07E4"/>
    <w:rsid w:val="002E1A34"/>
    <w:rsid w:val="002E272F"/>
    <w:rsid w:val="002E2EF8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7C8"/>
    <w:rsid w:val="003B359D"/>
    <w:rsid w:val="003B598E"/>
    <w:rsid w:val="003B793B"/>
    <w:rsid w:val="003C005C"/>
    <w:rsid w:val="003C0457"/>
    <w:rsid w:val="003C2CD2"/>
    <w:rsid w:val="003C5A76"/>
    <w:rsid w:val="003D0B8F"/>
    <w:rsid w:val="003D2F6B"/>
    <w:rsid w:val="003D3B03"/>
    <w:rsid w:val="003D65A8"/>
    <w:rsid w:val="003D6CC9"/>
    <w:rsid w:val="003D7DE3"/>
    <w:rsid w:val="003E145E"/>
    <w:rsid w:val="003E593F"/>
    <w:rsid w:val="003E67DF"/>
    <w:rsid w:val="003F1DED"/>
    <w:rsid w:val="003F7554"/>
    <w:rsid w:val="00400D38"/>
    <w:rsid w:val="004035FE"/>
    <w:rsid w:val="00404265"/>
    <w:rsid w:val="004042C4"/>
    <w:rsid w:val="00423182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DEA"/>
    <w:rsid w:val="004768A6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21C48"/>
    <w:rsid w:val="00521C7E"/>
    <w:rsid w:val="00522507"/>
    <w:rsid w:val="005238C7"/>
    <w:rsid w:val="005240E7"/>
    <w:rsid w:val="0052762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680F"/>
    <w:rsid w:val="005D2698"/>
    <w:rsid w:val="005D5CE2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1004F"/>
    <w:rsid w:val="00612F9F"/>
    <w:rsid w:val="00615D74"/>
    <w:rsid w:val="00622359"/>
    <w:rsid w:val="006275C8"/>
    <w:rsid w:val="0063279A"/>
    <w:rsid w:val="00632DE0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5822"/>
    <w:rsid w:val="00781CC6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3E32"/>
    <w:rsid w:val="007E26A0"/>
    <w:rsid w:val="007E4F78"/>
    <w:rsid w:val="007E5517"/>
    <w:rsid w:val="007F0BB7"/>
    <w:rsid w:val="007F30A9"/>
    <w:rsid w:val="007F5737"/>
    <w:rsid w:val="008020C3"/>
    <w:rsid w:val="00802D82"/>
    <w:rsid w:val="00803A04"/>
    <w:rsid w:val="00804D3E"/>
    <w:rsid w:val="00810A7F"/>
    <w:rsid w:val="008111FC"/>
    <w:rsid w:val="00811DFE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002D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2003"/>
    <w:rsid w:val="008D59EF"/>
    <w:rsid w:val="008E5D8F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297E"/>
    <w:rsid w:val="0091513F"/>
    <w:rsid w:val="00915791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C1775"/>
    <w:rsid w:val="009C3242"/>
    <w:rsid w:val="009C36C0"/>
    <w:rsid w:val="009C3E56"/>
    <w:rsid w:val="009C5D9C"/>
    <w:rsid w:val="009C69F9"/>
    <w:rsid w:val="009C6C86"/>
    <w:rsid w:val="009D1980"/>
    <w:rsid w:val="009D33F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8D1"/>
    <w:rsid w:val="00A859F8"/>
    <w:rsid w:val="00A86DE5"/>
    <w:rsid w:val="00A90C07"/>
    <w:rsid w:val="00A90FAC"/>
    <w:rsid w:val="00A9290A"/>
    <w:rsid w:val="00A93005"/>
    <w:rsid w:val="00A933B7"/>
    <w:rsid w:val="00A93D19"/>
    <w:rsid w:val="00AA0800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3EAC"/>
    <w:rsid w:val="00B4682F"/>
    <w:rsid w:val="00B527B1"/>
    <w:rsid w:val="00B577EE"/>
    <w:rsid w:val="00B60C4A"/>
    <w:rsid w:val="00B623AC"/>
    <w:rsid w:val="00B634C2"/>
    <w:rsid w:val="00B63D1A"/>
    <w:rsid w:val="00B64620"/>
    <w:rsid w:val="00B673BC"/>
    <w:rsid w:val="00B704E2"/>
    <w:rsid w:val="00B74F9C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2BFF"/>
    <w:rsid w:val="00C3389A"/>
    <w:rsid w:val="00C348E1"/>
    <w:rsid w:val="00C35071"/>
    <w:rsid w:val="00C35D29"/>
    <w:rsid w:val="00C5489A"/>
    <w:rsid w:val="00C55802"/>
    <w:rsid w:val="00C568A9"/>
    <w:rsid w:val="00C612F1"/>
    <w:rsid w:val="00C707DE"/>
    <w:rsid w:val="00C7234B"/>
    <w:rsid w:val="00C73E9D"/>
    <w:rsid w:val="00C76379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E2D7E"/>
    <w:rsid w:val="00CE6BFC"/>
    <w:rsid w:val="00CE756A"/>
    <w:rsid w:val="00CF29F4"/>
    <w:rsid w:val="00CF6946"/>
    <w:rsid w:val="00D00BBF"/>
    <w:rsid w:val="00D01416"/>
    <w:rsid w:val="00D017A0"/>
    <w:rsid w:val="00D02A10"/>
    <w:rsid w:val="00D03467"/>
    <w:rsid w:val="00D1022D"/>
    <w:rsid w:val="00D124AC"/>
    <w:rsid w:val="00D1330E"/>
    <w:rsid w:val="00D1477F"/>
    <w:rsid w:val="00D16040"/>
    <w:rsid w:val="00D2173A"/>
    <w:rsid w:val="00D320AD"/>
    <w:rsid w:val="00D35722"/>
    <w:rsid w:val="00D414A7"/>
    <w:rsid w:val="00D42B29"/>
    <w:rsid w:val="00D42FF5"/>
    <w:rsid w:val="00D43FDB"/>
    <w:rsid w:val="00D5332B"/>
    <w:rsid w:val="00D55709"/>
    <w:rsid w:val="00D60F0B"/>
    <w:rsid w:val="00D63B44"/>
    <w:rsid w:val="00D73BC2"/>
    <w:rsid w:val="00D7436E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C4800"/>
    <w:rsid w:val="00DD5A0E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8384D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5EB0"/>
    <w:rsid w:val="00F218C5"/>
    <w:rsid w:val="00F2277F"/>
    <w:rsid w:val="00F234CF"/>
    <w:rsid w:val="00F306D1"/>
    <w:rsid w:val="00F320B9"/>
    <w:rsid w:val="00F3512A"/>
    <w:rsid w:val="00F35354"/>
    <w:rsid w:val="00F36574"/>
    <w:rsid w:val="00F36A8D"/>
    <w:rsid w:val="00F41E30"/>
    <w:rsid w:val="00F4557F"/>
    <w:rsid w:val="00F4714D"/>
    <w:rsid w:val="00F52CED"/>
    <w:rsid w:val="00F55E5A"/>
    <w:rsid w:val="00F55F13"/>
    <w:rsid w:val="00F56DFB"/>
    <w:rsid w:val="00F60A34"/>
    <w:rsid w:val="00F715CB"/>
    <w:rsid w:val="00F74438"/>
    <w:rsid w:val="00F75237"/>
    <w:rsid w:val="00F7646C"/>
    <w:rsid w:val="00F841D2"/>
    <w:rsid w:val="00F87C71"/>
    <w:rsid w:val="00F90DDA"/>
    <w:rsid w:val="00F92224"/>
    <w:rsid w:val="00F929E8"/>
    <w:rsid w:val="00F92C90"/>
    <w:rsid w:val="00F9423D"/>
    <w:rsid w:val="00F94789"/>
    <w:rsid w:val="00F959F2"/>
    <w:rsid w:val="00F95F79"/>
    <w:rsid w:val="00FA0C7B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796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/EconomicsPoliticsSociology/2415455/?av=1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://baguzin.ru/wp/?p=635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://baguzin.ru/wp/?p=5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baguzin.ru/wp/?p=78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hyperlink" Target="http://baguzin.ru/wp/?p=2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6A01-868C-4B5E-A261-A649FD9F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4494</Words>
  <Characters>27416</Characters>
  <Application>Microsoft Office Word</Application>
  <DocSecurity>0</DocSecurity>
  <Lines>623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7</cp:revision>
  <cp:lastPrinted>2013-08-31T16:08:00Z</cp:lastPrinted>
  <dcterms:created xsi:type="dcterms:W3CDTF">2015-09-06T06:46:00Z</dcterms:created>
  <dcterms:modified xsi:type="dcterms:W3CDTF">2015-09-06T17:49:00Z</dcterms:modified>
</cp:coreProperties>
</file>