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1E" w:rsidRPr="00840C42" w:rsidRDefault="00E13EE5" w:rsidP="0094648B">
      <w:pPr>
        <w:spacing w:after="240" w:line="240" w:lineRule="auto"/>
        <w:rPr>
          <w:b/>
          <w:sz w:val="28"/>
        </w:rPr>
      </w:pPr>
      <w:r w:rsidRPr="00E13EE5">
        <w:rPr>
          <w:b/>
          <w:sz w:val="28"/>
        </w:rPr>
        <w:t>Оценка прогноза. Количественное измерение неопределенности</w:t>
      </w:r>
    </w:p>
    <w:p w:rsidR="007111A2" w:rsidRPr="00BB09B2" w:rsidRDefault="00E13EE5" w:rsidP="0094648B">
      <w:pPr>
        <w:spacing w:after="120" w:line="240" w:lineRule="auto"/>
        <w:rPr>
          <w:lang w:val="en-US"/>
        </w:rPr>
      </w:pPr>
      <w:r>
        <w:t xml:space="preserve">Недавно я </w:t>
      </w:r>
      <w:r w:rsidR="00B55F74">
        <w:t xml:space="preserve">прочитал книгу </w:t>
      </w:r>
      <w:r w:rsidR="00B55F74" w:rsidRPr="00B55F74">
        <w:t>Филип</w:t>
      </w:r>
      <w:r w:rsidR="00B55F74">
        <w:t>а</w:t>
      </w:r>
      <w:r w:rsidR="00B55F74" w:rsidRPr="00B55F74">
        <w:t xml:space="preserve"> Тетлок</w:t>
      </w:r>
      <w:r w:rsidR="00B55F74">
        <w:t>а и</w:t>
      </w:r>
      <w:r w:rsidR="00B55F74" w:rsidRPr="00B55F74">
        <w:t xml:space="preserve"> Дэн</w:t>
      </w:r>
      <w:r w:rsidR="00B55F74">
        <w:t>а</w:t>
      </w:r>
      <w:r w:rsidR="00B55F74" w:rsidRPr="00B55F74">
        <w:t xml:space="preserve"> Гарднер</w:t>
      </w:r>
      <w:r w:rsidR="00B55F74">
        <w:t>а</w:t>
      </w:r>
      <w:r w:rsidR="00B55F74" w:rsidRPr="00B55F74">
        <w:t xml:space="preserve">. </w:t>
      </w:r>
      <w:hyperlink r:id="rId8" w:history="1">
        <w:r w:rsidR="00B55F74" w:rsidRPr="00BB09B2">
          <w:rPr>
            <w:rStyle w:val="a3"/>
          </w:rPr>
          <w:t>Думай медленно – предсказывай точно</w:t>
        </w:r>
      </w:hyperlink>
      <w:r w:rsidR="00B55F74">
        <w:t>. Она посвящена различным аспектам прогнозирования</w:t>
      </w:r>
      <w:r w:rsidR="00192E57">
        <w:t>. Д</w:t>
      </w:r>
      <w:r w:rsidR="00B55F74">
        <w:t xml:space="preserve">ля оценки точности прогнозов </w:t>
      </w:r>
      <w:r w:rsidR="007111A2">
        <w:t>используется</w:t>
      </w:r>
      <w:r w:rsidR="00B55F74">
        <w:t xml:space="preserve"> критерий Брайера. Н</w:t>
      </w:r>
      <w:r w:rsidR="007111A2">
        <w:t>а русском языке статей по теме</w:t>
      </w:r>
      <w:r w:rsidR="00B55F74">
        <w:t xml:space="preserve"> </w:t>
      </w:r>
      <w:r w:rsidR="007111A2">
        <w:t>довольно мало, зато попалась любопытная заметка на английском</w:t>
      </w:r>
      <w:r w:rsidR="000B0A84">
        <w:t xml:space="preserve"> –</w:t>
      </w:r>
      <w:r w:rsidR="007111A2">
        <w:t xml:space="preserve"> </w:t>
      </w:r>
      <w:r w:rsidR="007111A2" w:rsidRPr="007111A2">
        <w:rPr>
          <w:lang w:val="en-US"/>
        </w:rPr>
        <w:t>Ryan</w:t>
      </w:r>
      <w:r w:rsidR="007111A2" w:rsidRPr="007111A2">
        <w:t xml:space="preserve"> </w:t>
      </w:r>
      <w:r w:rsidR="007111A2" w:rsidRPr="007111A2">
        <w:rPr>
          <w:lang w:val="en-US"/>
        </w:rPr>
        <w:t>McGeehan</w:t>
      </w:r>
      <w:r w:rsidR="007111A2">
        <w:t xml:space="preserve">. </w:t>
      </w:r>
      <w:hyperlink r:id="rId9" w:history="1">
        <w:r w:rsidR="007111A2" w:rsidRPr="00BB09B2">
          <w:rPr>
            <w:rStyle w:val="a3"/>
            <w:lang w:val="en-US"/>
          </w:rPr>
          <w:t>Scorin</w:t>
        </w:r>
        <w:r w:rsidR="007111A2" w:rsidRPr="00BB09B2">
          <w:rPr>
            <w:rStyle w:val="a3"/>
            <w:lang w:val="en-US"/>
          </w:rPr>
          <w:t>g</w:t>
        </w:r>
        <w:r w:rsidR="007111A2" w:rsidRPr="00BB09B2">
          <w:rPr>
            <w:rStyle w:val="a3"/>
            <w:lang w:val="en-US"/>
          </w:rPr>
          <w:t xml:space="preserve"> a risk forecast</w:t>
        </w:r>
      </w:hyperlink>
      <w:r w:rsidR="007111A2" w:rsidRPr="00BB09B2">
        <w:rPr>
          <w:lang w:val="en-US"/>
        </w:rPr>
        <w:t xml:space="preserve">. </w:t>
      </w:r>
      <w:r w:rsidR="007111A2" w:rsidRPr="007111A2">
        <w:rPr>
          <w:lang w:val="en-US"/>
        </w:rPr>
        <w:t>Quantitative</w:t>
      </w:r>
      <w:r w:rsidR="007111A2" w:rsidRPr="00BB09B2">
        <w:rPr>
          <w:lang w:val="en-US"/>
        </w:rPr>
        <w:t xml:space="preserve"> </w:t>
      </w:r>
      <w:r w:rsidR="007111A2" w:rsidRPr="007111A2">
        <w:rPr>
          <w:lang w:val="en-US"/>
        </w:rPr>
        <w:t>measurement</w:t>
      </w:r>
      <w:r w:rsidR="007111A2" w:rsidRPr="00BB09B2">
        <w:rPr>
          <w:lang w:val="en-US"/>
        </w:rPr>
        <w:t xml:space="preserve"> </w:t>
      </w:r>
      <w:r w:rsidR="007111A2" w:rsidRPr="007111A2">
        <w:rPr>
          <w:lang w:val="en-US"/>
        </w:rPr>
        <w:t>of</w:t>
      </w:r>
      <w:r w:rsidR="007111A2" w:rsidRPr="00BB09B2">
        <w:rPr>
          <w:lang w:val="en-US"/>
        </w:rPr>
        <w:t xml:space="preserve"> </w:t>
      </w:r>
      <w:r w:rsidR="007111A2" w:rsidRPr="007111A2">
        <w:rPr>
          <w:lang w:val="en-US"/>
        </w:rPr>
        <w:t>wrong</w:t>
      </w:r>
      <w:r w:rsidR="007111A2" w:rsidRPr="00BB09B2">
        <w:rPr>
          <w:lang w:val="en-US"/>
        </w:rPr>
        <w:t>-</w:t>
      </w:r>
      <w:r w:rsidR="007111A2" w:rsidRPr="007111A2">
        <w:rPr>
          <w:lang w:val="en-US"/>
        </w:rPr>
        <w:t>ness</w:t>
      </w:r>
      <w:r w:rsidR="007111A2" w:rsidRPr="00BB09B2">
        <w:rPr>
          <w:lang w:val="en-US"/>
        </w:rPr>
        <w:t xml:space="preserve">. </w:t>
      </w:r>
      <w:r w:rsidR="007111A2">
        <w:t>Перед</w:t>
      </w:r>
      <w:r w:rsidR="007111A2" w:rsidRPr="00BB09B2">
        <w:rPr>
          <w:lang w:val="en-US"/>
        </w:rPr>
        <w:t xml:space="preserve"> </w:t>
      </w:r>
      <w:r w:rsidR="007111A2">
        <w:t>вами</w:t>
      </w:r>
      <w:r w:rsidR="007111A2" w:rsidRPr="00BB09B2">
        <w:rPr>
          <w:lang w:val="en-US"/>
        </w:rPr>
        <w:t xml:space="preserve"> </w:t>
      </w:r>
      <w:r w:rsidR="007111A2">
        <w:t>ее</w:t>
      </w:r>
      <w:r w:rsidR="007111A2" w:rsidRPr="00BB09B2">
        <w:rPr>
          <w:lang w:val="en-US"/>
        </w:rPr>
        <w:t xml:space="preserve"> </w:t>
      </w:r>
      <w:r w:rsidR="007111A2">
        <w:t>перевод</w:t>
      </w:r>
      <w:r w:rsidR="009B03B1" w:rsidRPr="00BB09B2">
        <w:rPr>
          <w:lang w:val="en-US"/>
        </w:rPr>
        <w:t xml:space="preserve"> </w:t>
      </w:r>
      <w:r w:rsidR="009B03B1">
        <w:t>от</w:t>
      </w:r>
      <w:r w:rsidR="009B03B1" w:rsidRPr="00BB09B2">
        <w:rPr>
          <w:lang w:val="en-US"/>
        </w:rPr>
        <w:t xml:space="preserve"> </w:t>
      </w:r>
      <w:r w:rsidR="009B03B1">
        <w:t>первого</w:t>
      </w:r>
      <w:r w:rsidR="009B03B1" w:rsidRPr="00BB09B2">
        <w:rPr>
          <w:lang w:val="en-US"/>
        </w:rPr>
        <w:t xml:space="preserve"> </w:t>
      </w:r>
      <w:r w:rsidR="009B03B1">
        <w:t>лица</w:t>
      </w:r>
      <w:r w:rsidR="009B03B1" w:rsidRPr="00BB09B2">
        <w:rPr>
          <w:lang w:val="en-US"/>
        </w:rPr>
        <w:t>.</w:t>
      </w:r>
    </w:p>
    <w:p w:rsidR="000B0A84" w:rsidRPr="000B0A84" w:rsidRDefault="000B0A84" w:rsidP="0094648B">
      <w:pPr>
        <w:pStyle w:val="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>Я опишу несколько подходов, используемых для оценки прогноз</w:t>
      </w:r>
      <w:r w:rsidR="007D44FB">
        <w:rPr>
          <w:rFonts w:asciiTheme="minorHAnsi" w:eastAsiaTheme="minorHAnsi" w:hAnsiTheme="minorHAnsi" w:cstheme="minorBidi"/>
          <w:color w:val="auto"/>
          <w:sz w:val="22"/>
          <w:szCs w:val="22"/>
        </w:rPr>
        <w:t>ов</w:t>
      </w: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7D44FB">
        <w:rPr>
          <w:rFonts w:asciiTheme="minorHAnsi" w:eastAsiaTheme="minorHAnsi" w:hAnsiTheme="minorHAnsi" w:cstheme="minorBidi"/>
          <w:color w:val="auto"/>
          <w:sz w:val="22"/>
          <w:szCs w:val="22"/>
        </w:rPr>
        <w:t>Для простоты</w:t>
      </w: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использ</w:t>
      </w:r>
      <w:r w:rsidR="007D44FB">
        <w:rPr>
          <w:rFonts w:asciiTheme="minorHAnsi" w:eastAsiaTheme="minorHAnsi" w:hAnsiTheme="minorHAnsi" w:cstheme="minorBidi"/>
          <w:color w:val="auto"/>
          <w:sz w:val="22"/>
          <w:szCs w:val="22"/>
        </w:rPr>
        <w:t>ую</w:t>
      </w: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самый знакомый </w:t>
      </w:r>
      <w:r w:rsidR="007D44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нам </w:t>
      </w: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>прогноз</w:t>
      </w:r>
      <w:r w:rsidR="007D44FB">
        <w:rPr>
          <w:rFonts w:asciiTheme="minorHAnsi" w:eastAsiaTheme="minorHAnsi" w:hAnsiTheme="minorHAnsi" w:cstheme="minorBidi"/>
          <w:color w:val="auto"/>
          <w:sz w:val="22"/>
          <w:szCs w:val="22"/>
        </w:rPr>
        <w:t>…</w:t>
      </w: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D44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– </w:t>
      </w:r>
      <w:r w:rsidRPr="000B0A84">
        <w:rPr>
          <w:rFonts w:asciiTheme="minorHAnsi" w:eastAsiaTheme="minorHAnsi" w:hAnsiTheme="minorHAnsi" w:cstheme="minorBidi"/>
          <w:color w:val="auto"/>
          <w:sz w:val="22"/>
          <w:szCs w:val="22"/>
        </w:rPr>
        <w:t>погода на завтра.</w:t>
      </w:r>
    </w:p>
    <w:p w:rsidR="000B0A84" w:rsidRPr="00BB09B2" w:rsidRDefault="007D44FB" w:rsidP="0094648B">
      <w:pPr>
        <w:pStyle w:val="2"/>
        <w:spacing w:before="0" w:after="120" w:line="240" w:lineRule="auto"/>
        <w:ind w:left="708"/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BB09B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П</w:t>
      </w:r>
      <w:r w:rsidR="000B0A84" w:rsidRPr="00BB09B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ойдет</w:t>
      </w:r>
      <w:r w:rsidRPr="00BB09B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ли</w:t>
      </w:r>
      <w:r w:rsidR="000B0A84" w:rsidRPr="00BB09B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дождь</w:t>
      </w:r>
      <w:r w:rsidRPr="00BB09B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в центре Сан-Франциско завтра 19 июня 2019 г.?</w:t>
      </w:r>
    </w:p>
    <w:p w:rsidR="007D44FB" w:rsidRDefault="007D44FB" w:rsidP="0094648B">
      <w:pPr>
        <w:spacing w:after="120" w:line="240" w:lineRule="auto"/>
      </w:pPr>
      <w:r>
        <w:t xml:space="preserve">Допустим, ваш прогноз, сделанный 18 июня, был 1% за то, что дождь пойдет. 19-го дождя не было. И мы оцениваем прогноз от 18-го, зная результат. </w:t>
      </w:r>
    </w:p>
    <w:p w:rsidR="007D44FB" w:rsidRDefault="007D44FB" w:rsidP="0094648B">
      <w:pPr>
        <w:pStyle w:val="3"/>
        <w:spacing w:before="0" w:after="120" w:line="240" w:lineRule="auto"/>
      </w:pPr>
      <w:r>
        <w:t>Оценка Брайера</w:t>
      </w:r>
    </w:p>
    <w:p w:rsidR="007D44FB" w:rsidRDefault="007D44FB" w:rsidP="0094648B">
      <w:pPr>
        <w:spacing w:after="120" w:line="240" w:lineRule="auto"/>
      </w:pPr>
      <w:r>
        <w:t>Оценка Брайера позволяет нам измерять и отслеживать погрешность наших прогнозов. Оценка Брайера BS (Brier score) — это аналог среднеквадратической</w:t>
      </w:r>
      <w:r w:rsidR="00F602B0">
        <w:t xml:space="preserve"> </w:t>
      </w:r>
      <w:r>
        <w:t>ошибки для прогнозов</w:t>
      </w:r>
      <w:r w:rsidR="00F602B0">
        <w:t>:</w:t>
      </w:r>
    </w:p>
    <w:p w:rsidR="00F602B0" w:rsidRPr="00F602B0" w:rsidRDefault="00BB09B2" w:rsidP="0094648B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BS=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(p –o)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acc>
        </m:oMath>
      </m:oMathPara>
    </w:p>
    <w:p w:rsidR="007D44FB" w:rsidRDefault="007D44FB" w:rsidP="0094648B">
      <w:pPr>
        <w:spacing w:after="120" w:line="240" w:lineRule="auto"/>
      </w:pPr>
      <w:r>
        <w:t xml:space="preserve">BS оценивается разность между прогностической вероятностью события </w:t>
      </w:r>
      <w:r w:rsidR="00F602B0" w:rsidRPr="00F602B0">
        <w:rPr>
          <w:rFonts w:asciiTheme="majorHAnsi" w:hAnsiTheme="majorHAnsi"/>
          <w:i/>
          <w:lang w:val="en-US"/>
        </w:rPr>
        <w:t>p</w:t>
      </w:r>
      <w:r>
        <w:t xml:space="preserve"> и его частотой </w:t>
      </w:r>
      <w:r w:rsidRPr="00F602B0">
        <w:rPr>
          <w:rFonts w:asciiTheme="majorHAnsi" w:hAnsiTheme="majorHAnsi"/>
          <w:i/>
        </w:rPr>
        <w:t>o</w:t>
      </w:r>
      <w:r>
        <w:t>, равной 0 или 1 в зависимости</w:t>
      </w:r>
      <w:r w:rsidR="00F602B0" w:rsidRPr="00F602B0">
        <w:t xml:space="preserve"> </w:t>
      </w:r>
      <w:r>
        <w:t>от того, было событие или нет. Чем меньше значение BS — тем лучше</w:t>
      </w:r>
      <w:r w:rsidR="00F602B0" w:rsidRPr="00BB09B2">
        <w:t xml:space="preserve"> </w:t>
      </w:r>
      <w:r>
        <w:t>оценка прогноза.</w:t>
      </w:r>
    </w:p>
    <w:p w:rsidR="007D44FB" w:rsidRDefault="00BB09B2" w:rsidP="0094648B">
      <w:pPr>
        <w:spacing w:after="120" w:line="240" w:lineRule="auto"/>
      </w:pPr>
      <w:r>
        <w:t>Итак, в нашем прогнозе</w:t>
      </w:r>
      <w:r w:rsidR="007D44FB">
        <w:t xml:space="preserve"> 1% </w:t>
      </w:r>
      <w:r>
        <w:t>за ответ «</w:t>
      </w:r>
      <w:r w:rsidR="007D44FB">
        <w:t>да</w:t>
      </w:r>
      <w:r>
        <w:t>»</w:t>
      </w:r>
      <w:r w:rsidR="007D44FB">
        <w:t xml:space="preserve"> и 99%</w:t>
      </w:r>
      <w:r>
        <w:t xml:space="preserve"> –</w:t>
      </w:r>
      <w:r w:rsidR="007D44FB">
        <w:t xml:space="preserve"> </w:t>
      </w:r>
      <w:r>
        <w:t>«</w:t>
      </w:r>
      <w:r w:rsidR="007D44FB">
        <w:t>нет</w:t>
      </w:r>
      <w:r>
        <w:t>»</w:t>
      </w:r>
      <w:r w:rsidR="007D44FB">
        <w:t>.</w:t>
      </w:r>
      <w:r>
        <w:t xml:space="preserve"> Мы знаем, что «да» было ложным, потому что дождя</w:t>
      </w:r>
      <w:r w:rsidRPr="00BB09B2">
        <w:t xml:space="preserve"> </w:t>
      </w:r>
      <w:r>
        <w:t xml:space="preserve">не было. В оценке Брайера </w:t>
      </w:r>
      <w:r w:rsidR="005667D3">
        <w:t>ИСТИНА</w:t>
      </w:r>
      <w:r>
        <w:t xml:space="preserve"> кодируется как 1 и </w:t>
      </w:r>
      <w:r w:rsidR="005667D3">
        <w:t>ЛОЖЬ</w:t>
      </w:r>
      <w:r>
        <w:t xml:space="preserve"> – как 0. </w:t>
      </w:r>
      <w:r w:rsidR="000E7639">
        <w:t>Наличие Да/Нет и ИСТИНА/ЛОЖЬ</w:t>
      </w:r>
      <w:r>
        <w:t xml:space="preserve"> может привести к путанице, </w:t>
      </w:r>
      <w:r w:rsidR="005667D3">
        <w:t>поэтому рассмотрим рисунок</w:t>
      </w:r>
      <w:r>
        <w:t>:</w:t>
      </w:r>
    </w:p>
    <w:p w:rsidR="005667D3" w:rsidRDefault="000E7639" w:rsidP="0094648B">
      <w:pPr>
        <w:spacing w:after="120" w:line="240" w:lineRule="auto"/>
      </w:pPr>
      <w:r>
        <w:rPr>
          <w:noProof/>
        </w:rPr>
        <w:drawing>
          <wp:inline distT="0" distB="0" distL="0" distR="0">
            <wp:extent cx="5238750" cy="2600325"/>
            <wp:effectExtent l="0" t="0" r="0" b="9525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Оценка Брайера 5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D3" w:rsidRDefault="005667D3" w:rsidP="0094648B">
      <w:pPr>
        <w:spacing w:after="120" w:line="240" w:lineRule="auto"/>
      </w:pPr>
      <w:r>
        <w:t>Рис</w:t>
      </w:r>
      <w:r w:rsidRPr="000E7639">
        <w:rPr>
          <w:lang w:val="en-US"/>
        </w:rPr>
        <w:t xml:space="preserve">. 1. </w:t>
      </w:r>
      <w:r>
        <w:t>Оценка</w:t>
      </w:r>
      <w:r w:rsidRPr="000E7639">
        <w:rPr>
          <w:lang w:val="en-US"/>
        </w:rPr>
        <w:t xml:space="preserve"> </w:t>
      </w:r>
      <w:r>
        <w:t>Брайера</w:t>
      </w:r>
    </w:p>
    <w:p w:rsidR="000E7639" w:rsidRPr="000E7639" w:rsidRDefault="000E7639" w:rsidP="0094648B">
      <w:pPr>
        <w:spacing w:after="120" w:line="240" w:lineRule="auto"/>
      </w:pPr>
      <w:r>
        <w:t xml:space="preserve">Уравнение должно содержать </w:t>
      </w:r>
      <w:r w:rsidRPr="000E7639">
        <w:t xml:space="preserve">столько </w:t>
      </w:r>
      <w:r w:rsidR="00330B1E">
        <w:t xml:space="preserve">слагаемых, сколько возможно </w:t>
      </w:r>
      <w:r w:rsidRPr="000E7639">
        <w:t>исходов.</w:t>
      </w:r>
    </w:p>
    <w:p w:rsidR="000E7639" w:rsidRPr="000E7639" w:rsidRDefault="000E7639" w:rsidP="0094648B">
      <w:pPr>
        <w:pStyle w:val="3"/>
        <w:spacing w:before="0" w:after="120" w:line="240" w:lineRule="auto"/>
      </w:pPr>
      <w:r>
        <w:t>О</w:t>
      </w:r>
      <w:r w:rsidRPr="000E7639">
        <w:t>ценка</w:t>
      </w:r>
      <w:r>
        <w:t xml:space="preserve"> Брайера</w:t>
      </w:r>
      <w:r w:rsidRPr="000E7639">
        <w:t xml:space="preserve"> и интуиция</w:t>
      </w:r>
    </w:p>
    <w:p w:rsidR="000E7639" w:rsidRPr="000E7639" w:rsidRDefault="000E7639" w:rsidP="0094648B">
      <w:pPr>
        <w:spacing w:after="120" w:line="240" w:lineRule="auto"/>
      </w:pPr>
      <w:r w:rsidRPr="000E7639">
        <w:t xml:space="preserve">Чем ниже оценка, тем лучше. Чем ошибочнее прогноз, тем выше будет оценка </w:t>
      </w:r>
      <w:r>
        <w:t>Брайера</w:t>
      </w:r>
      <w:r w:rsidRPr="000E7639">
        <w:t>. Мы</w:t>
      </w:r>
      <w:r>
        <w:t xml:space="preserve"> бы</w:t>
      </w:r>
      <w:r w:rsidRPr="000E7639">
        <w:t xml:space="preserve"> хот</w:t>
      </w:r>
      <w:r>
        <w:t xml:space="preserve">ели так строить прогнозы, чтобы </w:t>
      </w:r>
      <w:r w:rsidRPr="000E7639">
        <w:t>оценк</w:t>
      </w:r>
      <w:r>
        <w:t>и Брайера</w:t>
      </w:r>
      <w:r w:rsidRPr="000E7639">
        <w:t xml:space="preserve"> </w:t>
      </w:r>
      <w:r>
        <w:t xml:space="preserve">от </w:t>
      </w:r>
      <w:r w:rsidRPr="000E7639">
        <w:t>любого источника (человека</w:t>
      </w:r>
      <w:r>
        <w:t xml:space="preserve"> или искусственного интеллекта</w:t>
      </w:r>
      <w:r w:rsidRPr="000E7639">
        <w:t>) с течением времени уменьша</w:t>
      </w:r>
      <w:r>
        <w:t xml:space="preserve">лись, демонстрируя </w:t>
      </w:r>
      <w:r w:rsidRPr="000E7639">
        <w:t>улучшение наших методов.</w:t>
      </w:r>
      <w:r>
        <w:t xml:space="preserve"> </w:t>
      </w:r>
      <w:r w:rsidRPr="000E7639">
        <w:t>Идеальн</w:t>
      </w:r>
      <w:r>
        <w:t xml:space="preserve">ая оценка Брайера = </w:t>
      </w:r>
      <w:r w:rsidRPr="000E7639">
        <w:t xml:space="preserve">0. </w:t>
      </w:r>
      <w:r>
        <w:t>Полная неудача =</w:t>
      </w:r>
      <w:r w:rsidRPr="000E7639">
        <w:t xml:space="preserve"> 2.</w:t>
      </w:r>
      <w:r w:rsidR="00330B1E">
        <w:rPr>
          <w:rStyle w:val="a6"/>
        </w:rPr>
        <w:footnoteReference w:id="1"/>
      </w:r>
    </w:p>
    <w:p w:rsidR="000E7639" w:rsidRPr="000E7639" w:rsidRDefault="000E7639" w:rsidP="0094648B">
      <w:pPr>
        <w:spacing w:after="120" w:line="240" w:lineRule="auto"/>
      </w:pPr>
      <w:r w:rsidRPr="000E7639">
        <w:t xml:space="preserve">Первый ориентир </w:t>
      </w:r>
      <w:r>
        <w:t>– оценка</w:t>
      </w:r>
      <w:r w:rsidRPr="000E7639">
        <w:t xml:space="preserve"> лучше, чем случайное угадывание </w:t>
      </w:r>
      <w:r>
        <w:t>(</w:t>
      </w:r>
      <w:r w:rsidR="00330B1E">
        <w:t xml:space="preserve">подобно </w:t>
      </w:r>
      <w:r w:rsidRPr="000E7639">
        <w:t>подбрасывани</w:t>
      </w:r>
      <w:r w:rsidR="00330B1E">
        <w:t>ю</w:t>
      </w:r>
      <w:r w:rsidRPr="000E7639">
        <w:t xml:space="preserve"> монеты</w:t>
      </w:r>
      <w:r>
        <w:t>)</w:t>
      </w:r>
      <w:r w:rsidRPr="000E7639">
        <w:t xml:space="preserve">. </w:t>
      </w:r>
      <w:r w:rsidR="0094648B">
        <w:t>О</w:t>
      </w:r>
      <w:r w:rsidR="0094648B" w:rsidRPr="000E7639">
        <w:t>ценк</w:t>
      </w:r>
      <w:r w:rsidR="0094648B">
        <w:t>а Брайера для п</w:t>
      </w:r>
      <w:r>
        <w:t>олностью</w:t>
      </w:r>
      <w:r w:rsidRPr="000E7639">
        <w:t xml:space="preserve"> неопределенн</w:t>
      </w:r>
      <w:r w:rsidR="0094648B">
        <w:t>ой</w:t>
      </w:r>
      <w:r w:rsidRPr="000E7639">
        <w:t xml:space="preserve"> стратегии:</w:t>
      </w:r>
    </w:p>
    <w:p w:rsidR="005667D3" w:rsidRDefault="0094648B" w:rsidP="0094648B">
      <w:pPr>
        <w:pStyle w:val="2"/>
        <w:spacing w:before="0" w:after="120" w:line="240" w:lineRule="auto"/>
      </w:pPr>
      <w:r>
        <w:rPr>
          <w:noProof/>
        </w:rPr>
        <w:lastRenderedPageBreak/>
        <w:drawing>
          <wp:inline distT="0" distB="0" distL="0" distR="0">
            <wp:extent cx="5238750" cy="1343025"/>
            <wp:effectExtent l="0" t="0" r="0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ценка Брайера в полностью неопределенной ситуации 5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8B" w:rsidRDefault="0094648B" w:rsidP="0094648B">
      <w:pPr>
        <w:spacing w:after="120" w:line="240" w:lineRule="auto"/>
      </w:pPr>
      <w:r>
        <w:t>Рис. 2. Оценка Брайера в полностью неопределенной ситуации</w:t>
      </w:r>
    </w:p>
    <w:p w:rsidR="0094648B" w:rsidRDefault="0094648B" w:rsidP="0094648B">
      <w:pPr>
        <w:spacing w:after="120" w:line="240" w:lineRule="auto"/>
      </w:pPr>
      <w:r>
        <w:t xml:space="preserve">В прогнозе с двумя </w:t>
      </w:r>
      <w:r w:rsidR="00DD0C68">
        <w:t>исходами</w:t>
      </w:r>
      <w:r>
        <w:t xml:space="preserve"> мы хотим, чтобы источник прогноза, по крайней мере, работал лучше, чем 0,5 балла в среднем. В противном случае</w:t>
      </w:r>
      <w:r w:rsidR="00DD0C68">
        <w:t xml:space="preserve"> следует</w:t>
      </w:r>
      <w:r>
        <w:t xml:space="preserve"> положиться на монет</w:t>
      </w:r>
      <w:r w:rsidR="00DD0C68">
        <w:t>к</w:t>
      </w:r>
      <w:r>
        <w:t>у</w:t>
      </w:r>
      <w:r w:rsidR="00DD0C68">
        <w:t>))</w:t>
      </w:r>
      <w:r>
        <w:t xml:space="preserve">. </w:t>
      </w:r>
      <w:r w:rsidR="00330B1E">
        <w:t>Критерий</w:t>
      </w:r>
      <w:r>
        <w:t xml:space="preserve"> отличается в зависимости от количества </w:t>
      </w:r>
      <w:r w:rsidR="00DD0C68">
        <w:t>исходов</w:t>
      </w:r>
      <w:r>
        <w:t xml:space="preserve">. Например, критерий безразличия </w:t>
      </w:r>
      <w:r w:rsidR="00DD0C68">
        <w:t xml:space="preserve">при </w:t>
      </w:r>
      <w:r>
        <w:t>четыре</w:t>
      </w:r>
      <w:r w:rsidR="00DD0C68">
        <w:t>х</w:t>
      </w:r>
      <w:r>
        <w:t xml:space="preserve"> </w:t>
      </w:r>
      <w:r w:rsidR="00DD0C68">
        <w:t>исходах</w:t>
      </w:r>
      <w:r>
        <w:t xml:space="preserve"> </w:t>
      </w:r>
      <w:r w:rsidR="00DD0C68">
        <w:t>=</w:t>
      </w:r>
      <w:r>
        <w:t xml:space="preserve"> 0,75.</w:t>
      </w:r>
    </w:p>
    <w:p w:rsidR="0094648B" w:rsidRDefault="0094648B" w:rsidP="0094648B">
      <w:pPr>
        <w:spacing w:after="120" w:line="240" w:lineRule="auto"/>
      </w:pPr>
      <w:r>
        <w:t>Второй критерий</w:t>
      </w:r>
      <w:r w:rsidR="00DD0C68">
        <w:t xml:space="preserve"> – </w:t>
      </w:r>
      <w:r>
        <w:t xml:space="preserve">сравнение результатов с </w:t>
      </w:r>
      <w:r w:rsidR="00DD0C68">
        <w:t>общепринятыми</w:t>
      </w:r>
      <w:r>
        <w:t xml:space="preserve"> </w:t>
      </w:r>
      <w:r w:rsidR="00DD0C68">
        <w:t>моделями, типа: «</w:t>
      </w:r>
      <w:r>
        <w:t>Всегда ставьте на хозяев поля</w:t>
      </w:r>
      <w:r w:rsidR="00DD0C68">
        <w:t>»</w:t>
      </w:r>
      <w:r>
        <w:t xml:space="preserve">, </w:t>
      </w:r>
      <w:r w:rsidR="00DD0C68">
        <w:t>«В</w:t>
      </w:r>
      <w:r>
        <w:t>сегда ставьте на действующего политика</w:t>
      </w:r>
      <w:r w:rsidR="00DD0C68">
        <w:t>»</w:t>
      </w:r>
      <w:r>
        <w:t>, или</w:t>
      </w:r>
      <w:r w:rsidR="00DD0C68">
        <w:t xml:space="preserve"> «В</w:t>
      </w:r>
      <w:r>
        <w:t>черашняя погода</w:t>
      </w:r>
      <w:r w:rsidR="00DD0C68">
        <w:t xml:space="preserve"> – лучший прогноз на </w:t>
      </w:r>
      <w:r>
        <w:t>завтра</w:t>
      </w:r>
      <w:r w:rsidR="00DD0C68">
        <w:t>»</w:t>
      </w:r>
      <w:r>
        <w:t>.</w:t>
      </w:r>
    </w:p>
    <w:p w:rsidR="0094648B" w:rsidRDefault="00330B1E" w:rsidP="0094648B">
      <w:pPr>
        <w:spacing w:after="120" w:line="240" w:lineRule="auto"/>
      </w:pPr>
      <w:r>
        <w:t>Д</w:t>
      </w:r>
      <w:r w:rsidR="0094648B">
        <w:t xml:space="preserve">ва источника прогноза </w:t>
      </w:r>
      <w:r>
        <w:t xml:space="preserve">можно сравнивать </w:t>
      </w:r>
      <w:r w:rsidR="0094648B">
        <w:t xml:space="preserve">друг с другом, если они прогнозируют один и тот же сценарий. </w:t>
      </w:r>
      <w:r w:rsidR="00DD0C68">
        <w:t>Например, в</w:t>
      </w:r>
      <w:r w:rsidR="0094648B">
        <w:t xml:space="preserve">ы не можете сравнить </w:t>
      </w:r>
      <w:r>
        <w:t xml:space="preserve">прогноз </w:t>
      </w:r>
      <w:r w:rsidR="0094648B">
        <w:t>врем</w:t>
      </w:r>
      <w:r>
        <w:t>ени</w:t>
      </w:r>
      <w:r w:rsidR="0094648B">
        <w:t xml:space="preserve"> забега на 100 метров </w:t>
      </w:r>
      <w:r>
        <w:t>и</w:t>
      </w:r>
      <w:r w:rsidR="00DD0C68" w:rsidRPr="00DD0C68">
        <w:t xml:space="preserve"> </w:t>
      </w:r>
      <w:r w:rsidR="0094648B">
        <w:t>марафон</w:t>
      </w:r>
      <w:r w:rsidR="00DD0C68">
        <w:t>а.</w:t>
      </w:r>
      <w:r w:rsidR="0094648B">
        <w:t xml:space="preserve"> Это два разных события.</w:t>
      </w:r>
    </w:p>
    <w:p w:rsidR="00DA75E8" w:rsidRDefault="00DA75E8" w:rsidP="00330B1E">
      <w:pPr>
        <w:pStyle w:val="3"/>
        <w:ind w:left="708"/>
      </w:pPr>
      <w:r>
        <w:t>Составляющие оценки Брайера</w:t>
      </w:r>
    </w:p>
    <w:p w:rsidR="00DA75E8" w:rsidRDefault="00DA75E8" w:rsidP="00330B1E">
      <w:pPr>
        <w:spacing w:after="120" w:line="240" w:lineRule="auto"/>
        <w:ind w:left="708"/>
      </w:pPr>
      <w:r>
        <w:t>Оценку Брайера можно разложить на три составляющие, характеризующие различные аспекты системы:</w:t>
      </w:r>
      <w:r>
        <w:rPr>
          <w:rStyle w:val="a6"/>
        </w:rPr>
        <w:footnoteReference w:id="2"/>
      </w:r>
    </w:p>
    <w:p w:rsidR="00192E57" w:rsidRPr="00192E57" w:rsidRDefault="00192E57" w:rsidP="00330B1E">
      <w:pPr>
        <w:spacing w:after="120" w:line="240" w:lineRule="auto"/>
        <w:ind w:left="70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BS</m:t>
          </m:r>
          <m:r>
            <w:rPr>
              <w:rFonts w:ascii="Cambria Math" w:hAnsi="Cambria Math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–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acc>
          <m:r>
            <w:rPr>
              <w:rFonts w:ascii="Cambria Math" w:hAnsi="Cambria Math"/>
            </w:rPr>
            <m:t xml:space="preserve">-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–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acc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c</m:t>
          </m:r>
        </m:oMath>
      </m:oMathPara>
    </w:p>
    <w:p w:rsidR="00192E57" w:rsidRPr="00192E57" w:rsidRDefault="00192E57" w:rsidP="00330B1E">
      <w:pPr>
        <w:spacing w:after="120" w:line="240" w:lineRule="auto"/>
        <w:ind w:left="708" w:firstLine="708"/>
        <w:rPr>
          <w:sz w:val="20"/>
          <w:szCs w:val="20"/>
        </w:rPr>
      </w:pPr>
      <w:r w:rsidRPr="00192E57">
        <w:rPr>
          <w:sz w:val="20"/>
          <w:szCs w:val="20"/>
        </w:rPr>
        <w:t>Надежность    Разрешение</w:t>
      </w:r>
      <w:r>
        <w:rPr>
          <w:sz w:val="20"/>
          <w:szCs w:val="20"/>
        </w:rPr>
        <w:t xml:space="preserve">   Неопределенность</w:t>
      </w:r>
    </w:p>
    <w:p w:rsidR="00DA75E8" w:rsidRDefault="00DA75E8" w:rsidP="00330B1E">
      <w:pPr>
        <w:spacing w:after="120" w:line="240" w:lineRule="auto"/>
        <w:ind w:left="708"/>
      </w:pPr>
      <w:r>
        <w:t>где вся выборка вероятностных прогнозов поделена на N+1 категорий (</w:t>
      </w:r>
      <w:r w:rsidR="00192E57">
        <w:rPr>
          <w:lang w:val="en-US"/>
        </w:rPr>
        <w:t>k</w:t>
      </w:r>
      <w:r>
        <w:t xml:space="preserve"> = 1,</w:t>
      </w:r>
      <w:r w:rsidR="00192E57" w:rsidRPr="00192E57">
        <w:t xml:space="preserve"> </w:t>
      </w:r>
      <w:r>
        <w:t>2,</w:t>
      </w:r>
      <w:r w:rsidR="00192E57" w:rsidRPr="00192E57">
        <w:t xml:space="preserve"> </w:t>
      </w:r>
      <w:r w:rsidR="00192E57">
        <w:t xml:space="preserve">…, </w:t>
      </w:r>
      <w:r>
        <w:t xml:space="preserve">N+ 1), в каждой из которых содержится </w:t>
      </w:r>
      <w:r w:rsidR="00192E57" w:rsidRPr="00192E57">
        <w:rPr>
          <w:lang w:val="en-US"/>
        </w:rPr>
        <w:t>n</w:t>
      </w:r>
      <w:r w:rsidR="00192E57" w:rsidRPr="00192E57">
        <w:rPr>
          <w:vertAlign w:val="subscript"/>
          <w:lang w:val="en-US"/>
        </w:rPr>
        <w:t>k</w:t>
      </w:r>
      <w:r>
        <w:t xml:space="preserve"> прогнозов с вероятностью р</w:t>
      </w:r>
      <w:r w:rsidR="00192E57" w:rsidRPr="00192E57">
        <w:rPr>
          <w:vertAlign w:val="subscript"/>
          <w:lang w:val="en-US"/>
        </w:rPr>
        <w:t>k</w:t>
      </w:r>
      <w:r w:rsidR="00192E57" w:rsidRPr="00192E57">
        <w:t>;</w:t>
      </w:r>
      <w:r>
        <w:t xml:space="preserve"> с</w:t>
      </w:r>
      <w:r w:rsidR="00192E57" w:rsidRPr="00192E57">
        <w:rPr>
          <w:vertAlign w:val="subscript"/>
          <w:lang w:val="en-US"/>
        </w:rPr>
        <w:t>k</w:t>
      </w:r>
      <w:r>
        <w:t xml:space="preserve"> </w:t>
      </w:r>
      <w:r w:rsidR="00192E57" w:rsidRPr="00192E57">
        <w:t>–</w:t>
      </w:r>
      <w:r>
        <w:t xml:space="preserve"> частота наблюдаемого события в данной категории; с — частота наблюдаемого события по всей выборке.</w:t>
      </w:r>
    </w:p>
    <w:p w:rsidR="00DA75E8" w:rsidRDefault="00DA75E8" w:rsidP="00330B1E">
      <w:pPr>
        <w:spacing w:after="120" w:line="240" w:lineRule="auto"/>
        <w:ind w:left="708"/>
      </w:pPr>
      <w:r w:rsidRPr="00192E57">
        <w:rPr>
          <w:i/>
          <w:iCs/>
        </w:rPr>
        <w:t>Надежность</w:t>
      </w:r>
      <w:r>
        <w:t xml:space="preserve"> — среднеквадратическая разность между прогностической вероятностью и наблюдаемой частотой в разных вероятностных категориях. Она означает способность системы прогнозировать точные вероятности. Например, явление наблюдалось в 30% случаев прогнозов с вероятностью 30%. </w:t>
      </w:r>
      <w:r w:rsidR="00192E57">
        <w:t>Ч</w:t>
      </w:r>
      <w:r>
        <w:t>ем меньше значение этого члена — тем лучше.</w:t>
      </w:r>
    </w:p>
    <w:p w:rsidR="00DA75E8" w:rsidRDefault="00DA75E8" w:rsidP="00330B1E">
      <w:pPr>
        <w:spacing w:after="120" w:line="240" w:lineRule="auto"/>
        <w:ind w:left="708"/>
      </w:pPr>
      <w:r w:rsidRPr="00192E57">
        <w:rPr>
          <w:i/>
          <w:iCs/>
        </w:rPr>
        <w:t>Разрешение</w:t>
      </w:r>
      <w:r>
        <w:t xml:space="preserve"> — это среднеквадратичная разность между наблюдаемой частотой в каждой категории и средней наблюденной частотой явления во всей выборке. Этот член означает способность прогностической системы разделять всю выборку прогнозов на подвыборки с различающимися наблюденными частотами явления.</w:t>
      </w:r>
    </w:p>
    <w:p w:rsidR="00DA75E8" w:rsidRDefault="00DA75E8" w:rsidP="00330B1E">
      <w:pPr>
        <w:spacing w:after="120" w:line="240" w:lineRule="auto"/>
        <w:ind w:left="708"/>
      </w:pPr>
      <w:r w:rsidRPr="00192E57">
        <w:rPr>
          <w:i/>
          <w:iCs/>
        </w:rPr>
        <w:t>Неопределенность</w:t>
      </w:r>
      <w:r>
        <w:t xml:space="preserve"> зависит только от изменчивости наблюдений и характеризует трудность прогностической ситуации. Она не зависит от качества прогностической </w:t>
      </w:r>
      <w:r w:rsidR="00192E57">
        <w:t>модели</w:t>
      </w:r>
      <w:r>
        <w:t>.</w:t>
      </w:r>
      <w:r w:rsidR="00330B1E">
        <w:rPr>
          <w:rStyle w:val="a6"/>
        </w:rPr>
        <w:footnoteReference w:id="3"/>
      </w:r>
    </w:p>
    <w:p w:rsidR="00DD0C68" w:rsidRDefault="00DD0C68" w:rsidP="00DD0C68">
      <w:pPr>
        <w:pStyle w:val="3"/>
      </w:pPr>
      <w:r>
        <w:t>Калибровка источника прогноза</w:t>
      </w:r>
    </w:p>
    <w:p w:rsidR="00DD0C68" w:rsidRDefault="00DD0C68" w:rsidP="00DD0C68">
      <w:pPr>
        <w:spacing w:after="120" w:line="240" w:lineRule="auto"/>
      </w:pPr>
      <w:r>
        <w:t xml:space="preserve">Калибровка </w:t>
      </w:r>
      <w:r w:rsidR="00BD2B1D">
        <w:t>показывает</w:t>
      </w:r>
      <w:r>
        <w:t xml:space="preserve">, насколько надежен источник прогноза. </w:t>
      </w:r>
      <w:r w:rsidR="00BD2B1D">
        <w:t>Калибровка</w:t>
      </w:r>
      <w:r>
        <w:t xml:space="preserve"> возможн</w:t>
      </w:r>
      <w:r w:rsidR="00BD2B1D">
        <w:t>а</w:t>
      </w:r>
      <w:r>
        <w:t xml:space="preserve">, если вы отслеживаете </w:t>
      </w:r>
      <w:r w:rsidR="00BD2B1D">
        <w:t xml:space="preserve">множество прогнозов и </w:t>
      </w:r>
      <w:r>
        <w:t>сравн</w:t>
      </w:r>
      <w:r w:rsidR="00BD2B1D">
        <w:t>иваете их</w:t>
      </w:r>
      <w:r>
        <w:t xml:space="preserve"> с фактическими результатами.</w:t>
      </w:r>
      <w:r w:rsidR="00BD2B1D">
        <w:t xml:space="preserve"> </w:t>
      </w:r>
      <w:r>
        <w:t xml:space="preserve">Предположим, вы прогнозируете дождь 10 дней подряд. Каждый день вы </w:t>
      </w:r>
      <w:r w:rsidR="00BD2B1D">
        <w:t>даете</w:t>
      </w:r>
      <w:r>
        <w:t xml:space="preserve"> 10%</w:t>
      </w:r>
      <w:r w:rsidR="00BD2B1D">
        <w:t xml:space="preserve"> за то</w:t>
      </w:r>
      <w:r>
        <w:t>, что пойдет дождь.</w:t>
      </w:r>
    </w:p>
    <w:p w:rsidR="00DD0C68" w:rsidRDefault="00BD2B1D" w:rsidP="00DD0C68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523875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Прогнозные и фактические данные 5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1D" w:rsidRDefault="00BD2B1D" w:rsidP="00DD0C68">
      <w:pPr>
        <w:spacing w:after="120" w:line="240" w:lineRule="auto"/>
      </w:pPr>
      <w:r>
        <w:t>Рис. 3. Прогнозные и фактические данные</w:t>
      </w:r>
    </w:p>
    <w:p w:rsidR="00DD0C68" w:rsidRDefault="00DD0C68" w:rsidP="00DD0C68">
      <w:pPr>
        <w:spacing w:after="120" w:line="240" w:lineRule="auto"/>
      </w:pPr>
      <w:r>
        <w:t>В этом примере ваша калибровка идеальна. Когда вы уверены на 10%, вы на 10% правы.</w:t>
      </w:r>
    </w:p>
    <w:p w:rsidR="00BD2B1D" w:rsidRDefault="00BD2B1D" w:rsidP="00BD2B1D">
      <w:pPr>
        <w:spacing w:after="120" w:line="240" w:lineRule="auto"/>
      </w:pPr>
      <w:r>
        <w:t xml:space="preserve">На линейном графике идеальная калибровка – это </w:t>
      </w:r>
      <w:r w:rsidR="003B0D29">
        <w:t xml:space="preserve">точки на </w:t>
      </w:r>
      <w:r>
        <w:t>лини</w:t>
      </w:r>
      <w:r w:rsidR="003B0D29">
        <w:t>и</w:t>
      </w:r>
      <w:r>
        <w:t xml:space="preserve"> под углом 45</w:t>
      </w:r>
      <w:r>
        <w:rPr>
          <w:rFonts w:cstheme="minorHAnsi"/>
        </w:rPr>
        <w:t>°</w:t>
      </w:r>
      <w:r>
        <w:t>, когда прогнозы совпадают с историческими результатами:</w:t>
      </w:r>
    </w:p>
    <w:p w:rsidR="00BD2B1D" w:rsidRDefault="00466B9D" w:rsidP="00BD2B1D">
      <w:pPr>
        <w:spacing w:after="120" w:line="240" w:lineRule="auto"/>
      </w:pPr>
      <w:r>
        <w:rPr>
          <w:noProof/>
        </w:rPr>
        <w:drawing>
          <wp:inline distT="0" distB="0" distL="0" distR="0">
            <wp:extent cx="3333750" cy="2495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Идеальная калибров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1D" w:rsidRDefault="00BD2B1D" w:rsidP="00BD2B1D">
      <w:pPr>
        <w:spacing w:after="120" w:line="240" w:lineRule="auto"/>
      </w:pPr>
      <w:r>
        <w:t>Рис. 4. Идеальная к</w:t>
      </w:r>
      <w:r w:rsidR="00466B9D">
        <w:t>а</w:t>
      </w:r>
      <w:r>
        <w:t>либровка</w:t>
      </w:r>
    </w:p>
    <w:p w:rsidR="00BD2B1D" w:rsidRDefault="003B0D29" w:rsidP="00BD2B1D">
      <w:pPr>
        <w:spacing w:after="120" w:line="240" w:lineRule="auto"/>
      </w:pPr>
      <w:r>
        <w:t>Если вы будете вести статистику, то с</w:t>
      </w:r>
      <w:r w:rsidR="00466B9D">
        <w:t xml:space="preserve"> течением</w:t>
      </w:r>
      <w:r w:rsidR="00BD2B1D">
        <w:t xml:space="preserve"> временем заметите отклонения от линии 1:1. Вот реальная калибровочная диаграмма</w:t>
      </w:r>
      <w:r w:rsidR="00466B9D">
        <w:t xml:space="preserve"> </w:t>
      </w:r>
      <w:r w:rsidR="00C10DB4">
        <w:t>(</w:t>
      </w:r>
      <w:r w:rsidR="00466B9D">
        <w:t>опубликованная в</w:t>
      </w:r>
      <w:r w:rsidR="00BD2B1D">
        <w:t xml:space="preserve"> блог</w:t>
      </w:r>
      <w:r w:rsidR="00466B9D">
        <w:t>е</w:t>
      </w:r>
      <w:r w:rsidR="00BD2B1D">
        <w:t xml:space="preserve"> </w:t>
      </w:r>
      <w:hyperlink r:id="rId14" w:history="1">
        <w:r w:rsidR="00BD2B1D" w:rsidRPr="00466B9D">
          <w:rPr>
            <w:rStyle w:val="a3"/>
          </w:rPr>
          <w:t>53</w:t>
        </w:r>
        <w:r w:rsidR="00BD2B1D" w:rsidRPr="00466B9D">
          <w:rPr>
            <w:rStyle w:val="a3"/>
          </w:rPr>
          <w:t>8</w:t>
        </w:r>
      </w:hyperlink>
      <w:r w:rsidR="00466B9D">
        <w:rPr>
          <w:rStyle w:val="a6"/>
        </w:rPr>
        <w:footnoteReference w:id="4"/>
      </w:r>
      <w:r w:rsidR="00C10DB4">
        <w:t xml:space="preserve">), в </w:t>
      </w:r>
      <w:r w:rsidR="00C10DB4" w:rsidRPr="00C10DB4">
        <w:t>котор</w:t>
      </w:r>
      <w:r w:rsidR="00C10DB4">
        <w:t>ой</w:t>
      </w:r>
      <w:r w:rsidR="00C10DB4" w:rsidRPr="00C10DB4">
        <w:t xml:space="preserve"> </w:t>
      </w:r>
      <w:r w:rsidR="00C10DB4">
        <w:t xml:space="preserve">суммированы </w:t>
      </w:r>
      <w:r w:rsidR="00C10DB4" w:rsidRPr="00C10DB4">
        <w:t>предсказ</w:t>
      </w:r>
      <w:r w:rsidR="00C10DB4">
        <w:t>ания</w:t>
      </w:r>
      <w:r w:rsidR="00C10DB4" w:rsidRPr="00C10DB4">
        <w:t xml:space="preserve"> в течение десятилетия</w:t>
      </w:r>
      <w:r w:rsidR="00C10DB4">
        <w:t>:</w:t>
      </w:r>
    </w:p>
    <w:p w:rsidR="00BD2B1D" w:rsidRDefault="00C10DB4" w:rsidP="00BD2B1D">
      <w:pPr>
        <w:spacing w:after="120" w:line="240" w:lineRule="auto"/>
      </w:pPr>
      <w:r>
        <w:rPr>
          <w:noProof/>
        </w:rPr>
        <w:drawing>
          <wp:inline distT="0" distB="0" distL="0" distR="0">
            <wp:extent cx="5238750" cy="1990725"/>
            <wp:effectExtent l="0" t="0" r="0" b="9525"/>
            <wp:docPr id="6" name="Рисунок 6" descr="Изображение выглядит как карт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Калибровка экспертов блога 53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B4" w:rsidRDefault="00C10DB4" w:rsidP="00BD2B1D">
      <w:pPr>
        <w:spacing w:after="120" w:line="240" w:lineRule="auto"/>
      </w:pPr>
      <w:r>
        <w:t>Рис. 5. Калибровка экспертов блога 538</w:t>
      </w:r>
    </w:p>
    <w:p w:rsidR="00BD2B1D" w:rsidRDefault="00BD2B1D" w:rsidP="00C10DB4">
      <w:pPr>
        <w:pStyle w:val="3"/>
      </w:pPr>
      <w:r>
        <w:t xml:space="preserve">Калибровка </w:t>
      </w:r>
      <w:r w:rsidR="00C10DB4">
        <w:t>и и</w:t>
      </w:r>
      <w:r>
        <w:t>нтуици</w:t>
      </w:r>
      <w:r w:rsidR="00C10DB4">
        <w:t>я</w:t>
      </w:r>
    </w:p>
    <w:p w:rsidR="00BD2B1D" w:rsidRDefault="00BD2B1D" w:rsidP="00BD2B1D">
      <w:pPr>
        <w:spacing w:after="120" w:line="240" w:lineRule="auto"/>
      </w:pPr>
      <w:r>
        <w:t>Для калибров</w:t>
      </w:r>
      <w:r w:rsidR="008975C6">
        <w:t xml:space="preserve">очной </w:t>
      </w:r>
      <w:r>
        <w:t>диаграмм</w:t>
      </w:r>
      <w:r w:rsidR="008975C6">
        <w:t>ы</w:t>
      </w:r>
      <w:r>
        <w:t xml:space="preserve"> требуется много прогнозов. Вот почему обучение калибровке так полезно. Это заставляет прогнозиста </w:t>
      </w:r>
      <w:r w:rsidR="008975C6">
        <w:t>давать большой</w:t>
      </w:r>
      <w:r>
        <w:t xml:space="preserve"> объем</w:t>
      </w:r>
      <w:r w:rsidR="008975C6">
        <w:t xml:space="preserve"> прогнозов</w:t>
      </w:r>
      <w:r>
        <w:t xml:space="preserve">, необходимый для </w:t>
      </w:r>
      <w:r w:rsidR="003B0D29">
        <w:t>построения</w:t>
      </w:r>
      <w:r>
        <w:t xml:space="preserve"> графика и наблюдения за отклонением</w:t>
      </w:r>
      <w:r w:rsidR="008975C6">
        <w:t xml:space="preserve"> точек</w:t>
      </w:r>
      <w:r>
        <w:t xml:space="preserve"> от</w:t>
      </w:r>
      <w:r w:rsidR="008975C6">
        <w:t xml:space="preserve"> линии</w:t>
      </w:r>
      <w:r>
        <w:t xml:space="preserve"> 1:1. Человек быстро калибруется, когда </w:t>
      </w:r>
      <w:r w:rsidR="008975C6">
        <w:t>следит за таким графиком</w:t>
      </w:r>
      <w:r>
        <w:t>.</w:t>
      </w:r>
    </w:p>
    <w:p w:rsidR="00BD2B1D" w:rsidRDefault="008975C6" w:rsidP="00BD2B1D">
      <w:pPr>
        <w:spacing w:after="120" w:line="240" w:lineRule="auto"/>
      </w:pPr>
      <w:r>
        <w:lastRenderedPageBreak/>
        <w:t>С</w:t>
      </w:r>
      <w:r w:rsidR="00BD2B1D">
        <w:t xml:space="preserve">итуации прогнозирования, которые я обнаружил на практике, </w:t>
      </w:r>
      <w:r>
        <w:t>редко дают</w:t>
      </w:r>
      <w:r w:rsidR="00BD2B1D">
        <w:t xml:space="preserve"> прогнозы в объеме, </w:t>
      </w:r>
      <w:r>
        <w:t>достаточном</w:t>
      </w:r>
      <w:r w:rsidR="00BD2B1D">
        <w:t xml:space="preserve"> для </w:t>
      </w:r>
      <w:r>
        <w:t>калибровки</w:t>
      </w:r>
      <w:r w:rsidR="00BD2B1D">
        <w:t xml:space="preserve">. Я не </w:t>
      </w:r>
      <w:r>
        <w:t xml:space="preserve">встречал команды, которые </w:t>
      </w:r>
      <w:r w:rsidR="00BD2B1D">
        <w:t>использо</w:t>
      </w:r>
      <w:r>
        <w:t xml:space="preserve">вали бы </w:t>
      </w:r>
      <w:r w:rsidR="00BD2B1D">
        <w:t>численн</w:t>
      </w:r>
      <w:r>
        <w:t>ый</w:t>
      </w:r>
      <w:r w:rsidR="00BD2B1D">
        <w:t xml:space="preserve"> подход к калибровк</w:t>
      </w:r>
      <w:r>
        <w:t>е</w:t>
      </w:r>
      <w:r w:rsidR="00BD2B1D">
        <w:t xml:space="preserve">. Наконец, точные прогнозы с </w:t>
      </w:r>
      <w:r>
        <w:t xml:space="preserve">использованием </w:t>
      </w:r>
      <w:r w:rsidR="00BD2B1D">
        <w:t>десятичны</w:t>
      </w:r>
      <w:r>
        <w:t>х чисел от нуля до единицы</w:t>
      </w:r>
      <w:r w:rsidR="003B0D29">
        <w:t>,</w:t>
      </w:r>
      <w:r>
        <w:t xml:space="preserve"> в принципе</w:t>
      </w:r>
      <w:r w:rsidR="003B0D29">
        <w:t>,</w:t>
      </w:r>
      <w:bookmarkStart w:id="0" w:name="_GoBack"/>
      <w:bookmarkEnd w:id="0"/>
      <w:r>
        <w:t xml:space="preserve"> встречаются редко</w:t>
      </w:r>
      <w:r w:rsidR="00BD2B1D">
        <w:t>. Большинство подходов к визуализации группируют прогнозы, округляя их или сглаживая.</w:t>
      </w:r>
    </w:p>
    <w:p w:rsidR="007111A2" w:rsidRPr="000E7639" w:rsidRDefault="007111A2" w:rsidP="00DA75E8">
      <w:pPr>
        <w:pStyle w:val="3"/>
      </w:pPr>
      <w:r>
        <w:t>Литература</w:t>
      </w:r>
    </w:p>
    <w:p w:rsidR="007111A2" w:rsidRPr="000B0A84" w:rsidRDefault="007111A2" w:rsidP="0094648B">
      <w:pPr>
        <w:spacing w:after="120" w:line="240" w:lineRule="auto"/>
        <w:rPr>
          <w:lang w:val="en-US"/>
        </w:rPr>
      </w:pPr>
      <w:r w:rsidRPr="007111A2">
        <w:rPr>
          <w:lang w:val="en-US"/>
        </w:rPr>
        <w:t>Glenn W. Brier</w:t>
      </w:r>
      <w:r>
        <w:rPr>
          <w:lang w:val="en-US"/>
        </w:rPr>
        <w:t xml:space="preserve">. </w:t>
      </w:r>
      <w:hyperlink r:id="rId16" w:history="1">
        <w:r w:rsidRPr="000B0A84">
          <w:rPr>
            <w:rStyle w:val="a3"/>
            <w:lang w:val="en-US"/>
          </w:rPr>
          <w:t>Verification of Forecasts Expressed in Terms of Probability</w:t>
        </w:r>
      </w:hyperlink>
      <w:r>
        <w:rPr>
          <w:lang w:val="en-US"/>
        </w:rPr>
        <w:t xml:space="preserve"> // Monthly Weather Review</w:t>
      </w:r>
      <w:r w:rsidR="000B0A84">
        <w:rPr>
          <w:lang w:val="en-US"/>
        </w:rPr>
        <w:t>, 1950, v.78, # 1, pp. 1–3</w:t>
      </w:r>
    </w:p>
    <w:p w:rsidR="00A1530A" w:rsidRDefault="000B0A84" w:rsidP="0094648B">
      <w:pPr>
        <w:spacing w:after="120" w:line="240" w:lineRule="auto"/>
      </w:pPr>
      <w:r w:rsidRPr="000B0A84">
        <w:t>А. Ю. Бундель</w:t>
      </w:r>
      <w:r>
        <w:t xml:space="preserve">. </w:t>
      </w:r>
      <w:hyperlink r:id="rId17" w:history="1">
        <w:r w:rsidRPr="009B03B1">
          <w:rPr>
            <w:rStyle w:val="a3"/>
          </w:rPr>
          <w:t>Оценка качества</w:t>
        </w:r>
      </w:hyperlink>
      <w:r w:rsidRPr="000B0A84">
        <w:t xml:space="preserve"> среднесрочных прогнозов количества осадков по данным ансамблевого интегрирования при помощи спектральной модели гидрометцентра </w:t>
      </w:r>
      <w:r>
        <w:t>Р</w:t>
      </w:r>
      <w:r w:rsidRPr="000B0A84">
        <w:t>оссии</w:t>
      </w:r>
      <w:r w:rsidR="009B03B1">
        <w:t>. Раздел «</w:t>
      </w:r>
      <w:r w:rsidR="009B03B1" w:rsidRPr="009B03B1">
        <w:t>Оценка Брайера, диаграммы надежности и разрешения</w:t>
      </w:r>
      <w:r w:rsidR="009B03B1">
        <w:t>»</w:t>
      </w:r>
    </w:p>
    <w:p w:rsidR="00C10DB4" w:rsidRDefault="00C10DB4" w:rsidP="0094648B">
      <w:pPr>
        <w:spacing w:after="120" w:line="240" w:lineRule="auto"/>
      </w:pPr>
      <w:bookmarkStart w:id="1" w:name="_Hlk32140310"/>
      <w:r w:rsidRPr="00C10DB4">
        <w:t xml:space="preserve">Дуглас Хаббард. </w:t>
      </w:r>
      <w:hyperlink r:id="rId18" w:history="1">
        <w:r w:rsidRPr="008975C6">
          <w:rPr>
            <w:rStyle w:val="a3"/>
          </w:rPr>
          <w:t>Как измерить всё, что угодно</w:t>
        </w:r>
      </w:hyperlink>
      <w:r w:rsidRPr="00C10DB4">
        <w:t>. Оценка стоимости нематериального в бизнесе</w:t>
      </w:r>
      <w:r>
        <w:t xml:space="preserve">. – М.: Олимп-Бизнес, 2009. – </w:t>
      </w:r>
      <w:r w:rsidR="008975C6">
        <w:t>320 с.</w:t>
      </w:r>
    </w:p>
    <w:bookmarkEnd w:id="1"/>
    <w:p w:rsidR="005667D3" w:rsidRDefault="005667D3" w:rsidP="0094648B">
      <w:pPr>
        <w:spacing w:after="120" w:line="240" w:lineRule="auto"/>
      </w:pPr>
    </w:p>
    <w:sectPr w:rsidR="005667D3" w:rsidSect="00840C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1E" w:rsidRDefault="00330B1E" w:rsidP="001A364C">
      <w:pPr>
        <w:spacing w:after="0" w:line="240" w:lineRule="auto"/>
      </w:pPr>
      <w:r>
        <w:separator/>
      </w:r>
    </w:p>
  </w:endnote>
  <w:endnote w:type="continuationSeparator" w:id="0">
    <w:p w:rsidR="00330B1E" w:rsidRDefault="00330B1E" w:rsidP="001A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1E" w:rsidRDefault="00330B1E" w:rsidP="001A364C">
      <w:pPr>
        <w:spacing w:after="0" w:line="240" w:lineRule="auto"/>
      </w:pPr>
      <w:r>
        <w:separator/>
      </w:r>
    </w:p>
  </w:footnote>
  <w:footnote w:type="continuationSeparator" w:id="0">
    <w:p w:rsidR="00330B1E" w:rsidRDefault="00330B1E" w:rsidP="001A364C">
      <w:pPr>
        <w:spacing w:after="0" w:line="240" w:lineRule="auto"/>
      </w:pPr>
      <w:r>
        <w:continuationSeparator/>
      </w:r>
    </w:p>
  </w:footnote>
  <w:footnote w:id="1">
    <w:p w:rsidR="00330B1E" w:rsidRPr="00330B1E" w:rsidRDefault="00330B1E">
      <w:pPr>
        <w:pStyle w:val="a4"/>
      </w:pPr>
      <w:r>
        <w:rPr>
          <w:rStyle w:val="a6"/>
        </w:rPr>
        <w:footnoteRef/>
      </w:r>
      <w:r>
        <w:t xml:space="preserve"> Если мы предсказали вероятность дождя 100%, а дождя не было, то </w:t>
      </w:r>
      <w:r>
        <w:rPr>
          <w:lang w:val="en-US"/>
        </w:rPr>
        <w:t>BS</w:t>
      </w:r>
      <w:r w:rsidRPr="00330B1E">
        <w:t xml:space="preserve"> = (0-1)</w:t>
      </w:r>
      <w:r w:rsidRPr="00330B1E">
        <w:rPr>
          <w:vertAlign w:val="superscript"/>
        </w:rPr>
        <w:t>2</w:t>
      </w:r>
      <w:r w:rsidRPr="00330B1E">
        <w:t xml:space="preserve"> + (1-0)</w:t>
      </w:r>
      <w:r w:rsidRPr="00330B1E">
        <w:rPr>
          <w:vertAlign w:val="superscript"/>
        </w:rPr>
        <w:t>2</w:t>
      </w:r>
      <w:r w:rsidRPr="00330B1E">
        <w:t xml:space="preserve"> = 2</w:t>
      </w:r>
      <w:r>
        <w:t xml:space="preserve">. – Здесь и далее </w:t>
      </w:r>
      <w:r w:rsidRPr="00330B1E">
        <w:rPr>
          <w:i/>
          <w:iCs/>
        </w:rPr>
        <w:t>Прим. Багузина.</w:t>
      </w:r>
    </w:p>
  </w:footnote>
  <w:footnote w:id="2">
    <w:p w:rsidR="00330B1E" w:rsidRDefault="00330B1E">
      <w:pPr>
        <w:pStyle w:val="a4"/>
      </w:pPr>
      <w:r>
        <w:rPr>
          <w:rStyle w:val="a6"/>
        </w:rPr>
        <w:footnoteRef/>
      </w:r>
      <w:r>
        <w:t xml:space="preserve"> Этот раздел – фрагмент статьи </w:t>
      </w:r>
      <w:r w:rsidRPr="000B0A84">
        <w:t>А.Ю. Бундель</w:t>
      </w:r>
      <w:r>
        <w:t xml:space="preserve">. </w:t>
      </w:r>
      <w:r w:rsidRPr="00DA75E8">
        <w:t>Оценка качества</w:t>
      </w:r>
      <w:r w:rsidRPr="000B0A84">
        <w:t xml:space="preserve"> среднесрочных прогнозов</w:t>
      </w:r>
      <w:r>
        <w:t>… См. список литературы.</w:t>
      </w:r>
    </w:p>
  </w:footnote>
  <w:footnote w:id="3">
    <w:p w:rsidR="00330B1E" w:rsidRDefault="00330B1E">
      <w:pPr>
        <w:pStyle w:val="a4"/>
      </w:pPr>
      <w:r>
        <w:rPr>
          <w:rStyle w:val="a6"/>
        </w:rPr>
        <w:footnoteRef/>
      </w:r>
      <w:r>
        <w:t xml:space="preserve"> Неопределенность = 0 для с = 0 и с = 1. Неопределенность максимальна для с = 0,5.</w:t>
      </w:r>
    </w:p>
  </w:footnote>
  <w:footnote w:id="4">
    <w:p w:rsidR="00330B1E" w:rsidRDefault="00330B1E">
      <w:pPr>
        <w:pStyle w:val="a4"/>
      </w:pPr>
      <w:r>
        <w:rPr>
          <w:rStyle w:val="a6"/>
        </w:rPr>
        <w:footnoteRef/>
      </w:r>
      <w:r>
        <w:t xml:space="preserve"> 538 – число выборщиков президента США.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A4E"/>
    <w:multiLevelType w:val="hybridMultilevel"/>
    <w:tmpl w:val="8C3C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FC4"/>
    <w:multiLevelType w:val="hybridMultilevel"/>
    <w:tmpl w:val="7C4E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4BD7"/>
    <w:multiLevelType w:val="hybridMultilevel"/>
    <w:tmpl w:val="9DBA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1AF2"/>
    <w:multiLevelType w:val="hybridMultilevel"/>
    <w:tmpl w:val="54607484"/>
    <w:lvl w:ilvl="0" w:tplc="32AC3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68"/>
    <w:rsid w:val="00000442"/>
    <w:rsid w:val="00000D0B"/>
    <w:rsid w:val="00002FF3"/>
    <w:rsid w:val="00015AE5"/>
    <w:rsid w:val="00023773"/>
    <w:rsid w:val="00033180"/>
    <w:rsid w:val="00096648"/>
    <w:rsid w:val="000B0A84"/>
    <w:rsid w:val="000B5F62"/>
    <w:rsid w:val="000C1716"/>
    <w:rsid w:val="000C6C9C"/>
    <w:rsid w:val="000D6C58"/>
    <w:rsid w:val="000E6976"/>
    <w:rsid w:val="000E7639"/>
    <w:rsid w:val="000F3686"/>
    <w:rsid w:val="00116E0A"/>
    <w:rsid w:val="001336C3"/>
    <w:rsid w:val="0016205C"/>
    <w:rsid w:val="00192E57"/>
    <w:rsid w:val="001A364C"/>
    <w:rsid w:val="001B77AE"/>
    <w:rsid w:val="001C5798"/>
    <w:rsid w:val="001E07BD"/>
    <w:rsid w:val="00213E36"/>
    <w:rsid w:val="002204CF"/>
    <w:rsid w:val="00231EC5"/>
    <w:rsid w:val="00246EE3"/>
    <w:rsid w:val="00260548"/>
    <w:rsid w:val="00263EB6"/>
    <w:rsid w:val="002B2F53"/>
    <w:rsid w:val="002B4E32"/>
    <w:rsid w:val="002B787E"/>
    <w:rsid w:val="002D17B6"/>
    <w:rsid w:val="002D2CA7"/>
    <w:rsid w:val="002F61B0"/>
    <w:rsid w:val="00301AE5"/>
    <w:rsid w:val="00302D0C"/>
    <w:rsid w:val="00307AEB"/>
    <w:rsid w:val="0031071D"/>
    <w:rsid w:val="00330B1E"/>
    <w:rsid w:val="0034227B"/>
    <w:rsid w:val="00342AA5"/>
    <w:rsid w:val="00377FEE"/>
    <w:rsid w:val="00384757"/>
    <w:rsid w:val="003973E1"/>
    <w:rsid w:val="003A0723"/>
    <w:rsid w:val="003B0D29"/>
    <w:rsid w:val="003C3166"/>
    <w:rsid w:val="003E190F"/>
    <w:rsid w:val="003F476E"/>
    <w:rsid w:val="004017A8"/>
    <w:rsid w:val="00402A9D"/>
    <w:rsid w:val="00466B9D"/>
    <w:rsid w:val="00471C6E"/>
    <w:rsid w:val="0048248B"/>
    <w:rsid w:val="004977C1"/>
    <w:rsid w:val="004A5903"/>
    <w:rsid w:val="004C5274"/>
    <w:rsid w:val="004E7B29"/>
    <w:rsid w:val="00506587"/>
    <w:rsid w:val="00507180"/>
    <w:rsid w:val="00516FD1"/>
    <w:rsid w:val="0052213C"/>
    <w:rsid w:val="005259FE"/>
    <w:rsid w:val="00541F62"/>
    <w:rsid w:val="005455CC"/>
    <w:rsid w:val="005667D3"/>
    <w:rsid w:val="00567E79"/>
    <w:rsid w:val="0058123B"/>
    <w:rsid w:val="00581668"/>
    <w:rsid w:val="00592D44"/>
    <w:rsid w:val="00593088"/>
    <w:rsid w:val="005A5C5C"/>
    <w:rsid w:val="005B7671"/>
    <w:rsid w:val="005C7782"/>
    <w:rsid w:val="005D0860"/>
    <w:rsid w:val="005D3282"/>
    <w:rsid w:val="005E4B74"/>
    <w:rsid w:val="00602AB0"/>
    <w:rsid w:val="00670BBB"/>
    <w:rsid w:val="00671597"/>
    <w:rsid w:val="006A5BA0"/>
    <w:rsid w:val="006D74A6"/>
    <w:rsid w:val="006E75E2"/>
    <w:rsid w:val="007111A2"/>
    <w:rsid w:val="00714F75"/>
    <w:rsid w:val="00733BA2"/>
    <w:rsid w:val="00734526"/>
    <w:rsid w:val="007600C6"/>
    <w:rsid w:val="00781B62"/>
    <w:rsid w:val="007A1937"/>
    <w:rsid w:val="007A52B1"/>
    <w:rsid w:val="007D02F5"/>
    <w:rsid w:val="007D44FB"/>
    <w:rsid w:val="007E2A25"/>
    <w:rsid w:val="0080533D"/>
    <w:rsid w:val="00825BAF"/>
    <w:rsid w:val="00840C42"/>
    <w:rsid w:val="00857DDE"/>
    <w:rsid w:val="008621C1"/>
    <w:rsid w:val="008747B8"/>
    <w:rsid w:val="008753D8"/>
    <w:rsid w:val="00881089"/>
    <w:rsid w:val="00893AA6"/>
    <w:rsid w:val="00895A1B"/>
    <w:rsid w:val="008975C6"/>
    <w:rsid w:val="008C127D"/>
    <w:rsid w:val="008F253D"/>
    <w:rsid w:val="0094648B"/>
    <w:rsid w:val="00952523"/>
    <w:rsid w:val="00960AF7"/>
    <w:rsid w:val="00976843"/>
    <w:rsid w:val="009B03B1"/>
    <w:rsid w:val="009C380A"/>
    <w:rsid w:val="009C7CD7"/>
    <w:rsid w:val="009D14BC"/>
    <w:rsid w:val="009E4AD4"/>
    <w:rsid w:val="009E5B31"/>
    <w:rsid w:val="009F33E4"/>
    <w:rsid w:val="009F57F0"/>
    <w:rsid w:val="00A1530A"/>
    <w:rsid w:val="00A17313"/>
    <w:rsid w:val="00A17C4A"/>
    <w:rsid w:val="00A42AF0"/>
    <w:rsid w:val="00A62E48"/>
    <w:rsid w:val="00A85B73"/>
    <w:rsid w:val="00A97F0E"/>
    <w:rsid w:val="00AB734C"/>
    <w:rsid w:val="00AC1D1F"/>
    <w:rsid w:val="00AC4475"/>
    <w:rsid w:val="00AE3A92"/>
    <w:rsid w:val="00AF1173"/>
    <w:rsid w:val="00B10553"/>
    <w:rsid w:val="00B10C7A"/>
    <w:rsid w:val="00B13218"/>
    <w:rsid w:val="00B276DC"/>
    <w:rsid w:val="00B55A3D"/>
    <w:rsid w:val="00B55F74"/>
    <w:rsid w:val="00B85A1E"/>
    <w:rsid w:val="00B9331B"/>
    <w:rsid w:val="00BA1A88"/>
    <w:rsid w:val="00BB09B2"/>
    <w:rsid w:val="00BC11CB"/>
    <w:rsid w:val="00BD2B1D"/>
    <w:rsid w:val="00BE42AE"/>
    <w:rsid w:val="00C10DB4"/>
    <w:rsid w:val="00C438FB"/>
    <w:rsid w:val="00C473F1"/>
    <w:rsid w:val="00C777BF"/>
    <w:rsid w:val="00C81094"/>
    <w:rsid w:val="00C8335F"/>
    <w:rsid w:val="00CF3B8F"/>
    <w:rsid w:val="00D233D2"/>
    <w:rsid w:val="00D52E61"/>
    <w:rsid w:val="00D6107F"/>
    <w:rsid w:val="00D7119E"/>
    <w:rsid w:val="00DA75E8"/>
    <w:rsid w:val="00DD0C68"/>
    <w:rsid w:val="00DE3CFA"/>
    <w:rsid w:val="00DF4414"/>
    <w:rsid w:val="00E055A7"/>
    <w:rsid w:val="00E13EE5"/>
    <w:rsid w:val="00E2215D"/>
    <w:rsid w:val="00E26C15"/>
    <w:rsid w:val="00E26DE2"/>
    <w:rsid w:val="00E274B0"/>
    <w:rsid w:val="00E37258"/>
    <w:rsid w:val="00E462B1"/>
    <w:rsid w:val="00E469A2"/>
    <w:rsid w:val="00E61228"/>
    <w:rsid w:val="00E87675"/>
    <w:rsid w:val="00E92A78"/>
    <w:rsid w:val="00E9511E"/>
    <w:rsid w:val="00EB430F"/>
    <w:rsid w:val="00EB7E5E"/>
    <w:rsid w:val="00EC57A5"/>
    <w:rsid w:val="00F06B07"/>
    <w:rsid w:val="00F1717E"/>
    <w:rsid w:val="00F25715"/>
    <w:rsid w:val="00F35A5B"/>
    <w:rsid w:val="00F4422A"/>
    <w:rsid w:val="00F45675"/>
    <w:rsid w:val="00F602B0"/>
    <w:rsid w:val="00F72D0B"/>
    <w:rsid w:val="00F84A12"/>
    <w:rsid w:val="00F954CB"/>
    <w:rsid w:val="00FB5B41"/>
    <w:rsid w:val="00FC0081"/>
    <w:rsid w:val="00FC2726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C9B3"/>
  <w15:docId w15:val="{64C2999C-B3E0-4873-8E7C-67C1CBD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1668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A3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1A36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364C"/>
    <w:rPr>
      <w:rFonts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364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E4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BE42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B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C4475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7111A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B0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912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baguzin.ru/wp/?p=2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method.meteorf.ru/publ/tr/tr342/bunde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archive.org/web/20171023012737/https:/docs.lib.noaa.gov/rescue/mwr/078/mwr-078-01-000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um.com/@magoo/scoring-a-risk-forecast-58673bb6a05e" TargetMode="External"/><Relationship Id="rId14" Type="http://schemas.openxmlformats.org/officeDocument/2006/relationships/hyperlink" Target="https://projects.fivethirtyeight.com/checking-our-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5125-8DDE-44BD-BC02-E2C7C6A8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Сергей Багузин</cp:lastModifiedBy>
  <cp:revision>5</cp:revision>
  <cp:lastPrinted>2018-10-13T08:20:00Z</cp:lastPrinted>
  <dcterms:created xsi:type="dcterms:W3CDTF">2020-01-24T13:44:00Z</dcterms:created>
  <dcterms:modified xsi:type="dcterms:W3CDTF">2020-02-09T09:13:00Z</dcterms:modified>
</cp:coreProperties>
</file>