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40D9" w14:textId="11818A5F" w:rsidR="00CE6CA1" w:rsidRDefault="003F32FC" w:rsidP="003F32FC">
      <w:pPr>
        <w:pStyle w:val="2"/>
        <w:spacing w:before="0" w:after="120" w:line="240" w:lineRule="auto"/>
      </w:pPr>
      <w:r w:rsidRPr="003F32FC">
        <w:t>Контрольная карта Шухарта</w:t>
      </w:r>
    </w:p>
    <w:p w14:paraId="029EE133" w14:textId="473B1AFA" w:rsidR="003F32FC" w:rsidRPr="00601C1A" w:rsidRDefault="003F32FC" w:rsidP="003F32FC">
      <w:pPr>
        <w:spacing w:after="120" w:line="240" w:lineRule="auto"/>
        <w:rPr>
          <w:rFonts w:eastAsia="Times New Roman" w:cstheme="minorHAnsi"/>
          <w:color w:val="000000"/>
          <w:lang w:eastAsia="ru-RU"/>
        </w:rPr>
      </w:pPr>
      <w:r>
        <w:rPr>
          <w:rFonts w:eastAsia="Times New Roman" w:cstheme="minorHAnsi"/>
          <w:color w:val="000000"/>
          <w:lang w:eastAsia="ru-RU"/>
        </w:rPr>
        <w:t>Более 10 назад я работал руководителем финансового отдела, и в мои обязанности входил контроль над дебиторской задолженностью покупателей. Как-то вызывает меня шеф и говорит: «За последнюю неделю задолженность выросла почти в два раза, разберись, пожалуйста». А я в то время наносил недельные значения дебиторской задолженности на контрольную карту Шухарта (ККШ) и рассказываю ему, мол колебания находятся в статистически ожидаемом коридоре. Так что искать какую-то конкретную причину «роста» задолженности вряд ли имеет смысл.</w:t>
      </w:r>
    </w:p>
    <w:p w14:paraId="24320D10" w14:textId="77777777" w:rsidR="003F32FC" w:rsidRDefault="003F32FC" w:rsidP="003F32F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459C65C5" wp14:editId="1BF903BF">
            <wp:extent cx="4606015" cy="2695492"/>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3108" cy="2705495"/>
                    </a:xfrm>
                    <a:prstGeom prst="rect">
                      <a:avLst/>
                    </a:prstGeom>
                    <a:noFill/>
                    <a:ln>
                      <a:noFill/>
                    </a:ln>
                  </pic:spPr>
                </pic:pic>
              </a:graphicData>
            </a:graphic>
          </wp:inline>
        </w:drawing>
      </w:r>
    </w:p>
    <w:p w14:paraId="2F2BE6BF" w14:textId="77777777" w:rsidR="003F32FC" w:rsidRDefault="003F32FC" w:rsidP="003F32FC">
      <w:pPr>
        <w:pStyle w:val="af3"/>
        <w:rPr>
          <w:lang w:eastAsia="ru-RU"/>
        </w:rPr>
      </w:pPr>
      <w:r>
        <w:rPr>
          <w:lang w:eastAsia="ru-RU"/>
        </w:rPr>
        <w:t>Динамика дебиторской задолженности: на 27-й неделе задолженность почти в 2 раза больше, чем на 26-й; однако оба значения находятся в пределах ожидаемого коридора</w:t>
      </w:r>
    </w:p>
    <w:p w14:paraId="42400640" w14:textId="77777777" w:rsidR="003F32FC" w:rsidRDefault="003F32FC" w:rsidP="003F32FC">
      <w:pPr>
        <w:pStyle w:val="3"/>
        <w:spacing w:before="0" w:after="120" w:line="240" w:lineRule="auto"/>
        <w:rPr>
          <w:rFonts w:eastAsia="Times New Roman"/>
          <w:lang w:eastAsia="ru-RU"/>
        </w:rPr>
      </w:pPr>
      <w:r>
        <w:rPr>
          <w:rFonts w:eastAsia="Times New Roman"/>
          <w:lang w:eastAsia="ru-RU"/>
        </w:rPr>
        <w:t>Измерение эмерджентных свойств</w:t>
      </w:r>
    </w:p>
    <w:p w14:paraId="2D3CAF6D" w14:textId="4186D697" w:rsidR="003F32FC" w:rsidRPr="00036E2D" w:rsidRDefault="003F32FC" w:rsidP="003F32FC">
      <w:pPr>
        <w:spacing w:after="120" w:line="240" w:lineRule="auto"/>
        <w:rPr>
          <w:color w:val="000000" w:themeColor="text1"/>
        </w:rPr>
      </w:pPr>
      <w:r w:rsidRPr="00036E2D">
        <w:rPr>
          <w:rFonts w:eastAsia="Times New Roman" w:cstheme="minorHAnsi"/>
          <w:color w:val="000000" w:themeColor="text1"/>
          <w:lang w:eastAsia="ru-RU"/>
        </w:rPr>
        <w:t>Карты Шухарта – од</w:t>
      </w:r>
      <w:r>
        <w:rPr>
          <w:rFonts w:eastAsia="Times New Roman" w:cstheme="minorHAnsi"/>
          <w:color w:val="000000" w:themeColor="text1"/>
          <w:lang w:eastAsia="ru-RU"/>
        </w:rPr>
        <w:t>и</w:t>
      </w:r>
      <w:r w:rsidRPr="00036E2D">
        <w:rPr>
          <w:rFonts w:eastAsia="Times New Roman" w:cstheme="minorHAnsi"/>
          <w:color w:val="000000" w:themeColor="text1"/>
          <w:lang w:eastAsia="ru-RU"/>
        </w:rPr>
        <w:t xml:space="preserve">н из </w:t>
      </w:r>
      <w:r>
        <w:rPr>
          <w:rFonts w:eastAsia="Times New Roman" w:cstheme="minorHAnsi"/>
          <w:color w:val="000000" w:themeColor="text1"/>
          <w:lang w:eastAsia="ru-RU"/>
        </w:rPr>
        <w:t>самых мощных инструментов системного подхода. Он позволяет перейти от поведения в стиле «</w:t>
      </w:r>
      <w:r w:rsidRPr="00036E2D">
        <w:rPr>
          <w:rFonts w:eastAsia="Times New Roman" w:cstheme="minorHAnsi"/>
          <w:color w:val="000000" w:themeColor="text1"/>
          <w:lang w:eastAsia="ru-RU"/>
        </w:rPr>
        <w:t>стимул – реакция</w:t>
      </w:r>
      <w:r>
        <w:rPr>
          <w:rFonts w:eastAsia="Times New Roman" w:cstheme="minorHAnsi"/>
          <w:color w:val="000000" w:themeColor="text1"/>
          <w:lang w:eastAsia="ru-RU"/>
        </w:rPr>
        <w:t>»</w:t>
      </w:r>
      <w:r w:rsidRPr="00036E2D">
        <w:rPr>
          <w:rFonts w:eastAsia="Times New Roman" w:cstheme="minorHAnsi"/>
          <w:color w:val="000000" w:themeColor="text1"/>
          <w:lang w:eastAsia="ru-RU"/>
        </w:rPr>
        <w:t xml:space="preserve">, </w:t>
      </w:r>
      <w:r>
        <w:rPr>
          <w:rFonts w:eastAsia="Times New Roman" w:cstheme="minorHAnsi"/>
          <w:color w:val="000000" w:themeColor="text1"/>
          <w:lang w:eastAsia="ru-RU"/>
        </w:rPr>
        <w:t xml:space="preserve">к </w:t>
      </w:r>
      <w:r w:rsidRPr="00036E2D">
        <w:rPr>
          <w:rFonts w:eastAsia="Times New Roman" w:cstheme="minorHAnsi"/>
          <w:color w:val="000000" w:themeColor="text1"/>
          <w:lang w:eastAsia="ru-RU"/>
        </w:rPr>
        <w:t>выявлени</w:t>
      </w:r>
      <w:r>
        <w:rPr>
          <w:rFonts w:eastAsia="Times New Roman" w:cstheme="minorHAnsi"/>
          <w:color w:val="000000" w:themeColor="text1"/>
          <w:lang w:eastAsia="ru-RU"/>
        </w:rPr>
        <w:t>ю и оценке</w:t>
      </w:r>
      <w:r w:rsidRPr="00036E2D">
        <w:rPr>
          <w:rFonts w:eastAsia="Times New Roman" w:cstheme="minorHAnsi"/>
          <w:color w:val="000000" w:themeColor="text1"/>
          <w:lang w:eastAsia="ru-RU"/>
        </w:rPr>
        <w:t xml:space="preserve"> закономерностей </w:t>
      </w:r>
      <w:r>
        <w:rPr>
          <w:rFonts w:eastAsia="Times New Roman" w:cstheme="minorHAnsi"/>
          <w:color w:val="000000" w:themeColor="text1"/>
          <w:lang w:eastAsia="ru-RU"/>
        </w:rPr>
        <w:t>системы. Поскольку эмерджентное с</w:t>
      </w:r>
      <w:r w:rsidRPr="00036E2D">
        <w:rPr>
          <w:rFonts w:eastAsia="Times New Roman" w:cstheme="minorHAnsi"/>
          <w:color w:val="000000" w:themeColor="text1"/>
          <w:lang w:eastAsia="ru-RU"/>
        </w:rPr>
        <w:t>войств</w:t>
      </w:r>
      <w:r>
        <w:rPr>
          <w:rFonts w:eastAsia="Times New Roman" w:cstheme="minorHAnsi"/>
          <w:color w:val="000000" w:themeColor="text1"/>
          <w:lang w:eastAsia="ru-RU"/>
        </w:rPr>
        <w:t>о</w:t>
      </w:r>
      <w:r w:rsidRPr="00036E2D">
        <w:rPr>
          <w:rFonts w:eastAsia="Times New Roman" w:cstheme="minorHAnsi"/>
          <w:color w:val="000000" w:themeColor="text1"/>
          <w:lang w:eastAsia="ru-RU"/>
        </w:rPr>
        <w:t xml:space="preserve"> </w:t>
      </w:r>
      <w:r>
        <w:rPr>
          <w:rFonts w:eastAsia="Times New Roman" w:cstheme="minorHAnsi"/>
          <w:color w:val="000000" w:themeColor="text1"/>
          <w:lang w:eastAsia="ru-RU"/>
        </w:rPr>
        <w:t>нельзя наблюдать напрямую,</w:t>
      </w:r>
      <w:r w:rsidRPr="00036E2D">
        <w:rPr>
          <w:rFonts w:eastAsia="Times New Roman" w:cstheme="minorHAnsi"/>
          <w:color w:val="000000" w:themeColor="text1"/>
          <w:lang w:eastAsia="ru-RU"/>
        </w:rPr>
        <w:t xml:space="preserve"> </w:t>
      </w:r>
      <w:r>
        <w:rPr>
          <w:rFonts w:eastAsia="Times New Roman" w:cstheme="minorHAnsi"/>
          <w:color w:val="000000" w:themeColor="text1"/>
          <w:lang w:eastAsia="ru-RU"/>
        </w:rPr>
        <w:t>м</w:t>
      </w:r>
      <w:r w:rsidRPr="00036E2D">
        <w:rPr>
          <w:rFonts w:eastAsia="Times New Roman" w:cstheme="minorHAnsi"/>
          <w:color w:val="000000" w:themeColor="text1"/>
          <w:lang w:eastAsia="ru-RU"/>
        </w:rPr>
        <w:t xml:space="preserve">ы выбираем </w:t>
      </w:r>
      <w:r>
        <w:rPr>
          <w:rFonts w:eastAsia="Times New Roman" w:cstheme="minorHAnsi"/>
          <w:color w:val="000000" w:themeColor="text1"/>
          <w:lang w:eastAsia="ru-RU"/>
        </w:rPr>
        <w:t>какое-то его проявление</w:t>
      </w:r>
      <w:r w:rsidRPr="00036E2D">
        <w:rPr>
          <w:rFonts w:eastAsia="Times New Roman" w:cstheme="minorHAnsi"/>
          <w:color w:val="000000" w:themeColor="text1"/>
          <w:lang w:eastAsia="ru-RU"/>
        </w:rPr>
        <w:t xml:space="preserve">, измеряем </w:t>
      </w:r>
      <w:r>
        <w:rPr>
          <w:rFonts w:eastAsia="Times New Roman" w:cstheme="minorHAnsi"/>
          <w:color w:val="000000" w:themeColor="text1"/>
          <w:lang w:eastAsia="ru-RU"/>
        </w:rPr>
        <w:t>и отражаем н</w:t>
      </w:r>
      <w:r w:rsidRPr="00036E2D">
        <w:rPr>
          <w:rFonts w:eastAsia="Times New Roman" w:cstheme="minorHAnsi"/>
          <w:color w:val="000000" w:themeColor="text1"/>
          <w:lang w:eastAsia="ru-RU"/>
        </w:rPr>
        <w:t xml:space="preserve">а карте Шухарта. Это позволяет управлять системой, </w:t>
      </w:r>
      <w:r>
        <w:rPr>
          <w:rFonts w:eastAsia="Times New Roman" w:cstheme="minorHAnsi"/>
          <w:color w:val="000000" w:themeColor="text1"/>
          <w:lang w:eastAsia="ru-RU"/>
        </w:rPr>
        <w:t>в смысле ее целенаправленного изменения для улучшения показателей на карте Шухарта</w:t>
      </w:r>
      <w:r w:rsidRPr="00036E2D">
        <w:rPr>
          <w:rFonts w:eastAsia="Times New Roman" w:cstheme="minorHAnsi"/>
          <w:color w:val="000000" w:themeColor="text1"/>
          <w:lang w:eastAsia="ru-RU"/>
        </w:rPr>
        <w:t>.</w:t>
      </w:r>
    </w:p>
    <w:p w14:paraId="0C22AAD6" w14:textId="77777777" w:rsidR="003F32FC" w:rsidRDefault="003F32FC" w:rsidP="003F32FC">
      <w:pPr>
        <w:spacing w:after="120" w:line="240" w:lineRule="auto"/>
      </w:pPr>
      <w:r>
        <w:t xml:space="preserve">Принципы построения контрольных карт впервые предложил Уолтер Шухарт в 1930-х годах (работы Шухарта на русском языке не издавались). Основная идея Шухарта заключается в следующем. Всем процессам свойственна изменчивость (вариабельность). </w:t>
      </w:r>
      <w:r w:rsidRPr="00B02CF2">
        <w:rPr>
          <w:i/>
        </w:rPr>
        <w:t>За часть изменений отвечает система</w:t>
      </w:r>
      <w:r>
        <w:t xml:space="preserve"> в целом. В этом случае никакие отдельные значения не выходят за контрольные границы. Искать конкретную причину того или иного колебания нет смысла. Но, есть богатое поле для деятельности, направленной на совершенствование системы. Если такие мероприятия увенчаются успехом, это найдет отражение на контрольной карте – среднее сместится в «нужную» сторону, границы сблизятся. Чем более узким будет коридор, тем более предсказуем результат процесса, тем меньше вероятность брака (в самом широком смысле этого слова).</w:t>
      </w:r>
    </w:p>
    <w:p w14:paraId="29009D19" w14:textId="77777777" w:rsidR="003F32FC" w:rsidRDefault="003F32FC" w:rsidP="003F32FC">
      <w:pPr>
        <w:pStyle w:val="21"/>
      </w:pPr>
      <w:r>
        <w:t>От поиска виновного к непрерывному совершенствованию</w:t>
      </w:r>
    </w:p>
    <w:p w14:paraId="17979B41" w14:textId="77777777" w:rsidR="003F32FC" w:rsidRDefault="003F32FC" w:rsidP="003F32FC">
      <w:pPr>
        <w:spacing w:after="120" w:line="240" w:lineRule="auto"/>
      </w:pPr>
      <w:r w:rsidRPr="00B02CF2">
        <w:rPr>
          <w:i/>
        </w:rPr>
        <w:t>За другую часть изменений система не ответственна</w:t>
      </w:r>
      <w:r>
        <w:t>. Как только какое-то значение вышло за контрольные границы, следует искать причину явления. Например, неверная настройка станка, ошибка в химическом составе припоя, отсутствие на работе ключевого сотрудника… Контрольные границы являются критерием, позволяющим отделить первый тип причин от второго.</w:t>
      </w:r>
    </w:p>
    <w:p w14:paraId="2E2BD7EB" w14:textId="77777777" w:rsidR="003F32FC" w:rsidRDefault="003F32FC" w:rsidP="003F32FC">
      <w:pPr>
        <w:pStyle w:val="3"/>
        <w:spacing w:before="0" w:after="120" w:line="240" w:lineRule="auto"/>
      </w:pPr>
      <w:r>
        <w:t>Контрольные карты в бизнесе</w:t>
      </w:r>
    </w:p>
    <w:p w14:paraId="63071AE6" w14:textId="77777777" w:rsidR="003F32FC" w:rsidRDefault="003F32FC" w:rsidP="003F32FC">
      <w:pPr>
        <w:spacing w:after="120" w:line="240" w:lineRule="auto"/>
      </w:pPr>
      <w:r>
        <w:t>Шухарт был инженером и статистиком, и основное применение своим картам видел именно в этих областях. Уильям Деминг разглядел в ККШ инструмент менеджмента. Фактически он предложил новую парадигму управления. На первом этапе нужно добиться чтобы процесс стал статистически управляемым, т.е., исключить причины второго типа, приводящие к браку. Например, несвоевременно подготовлено коммерческое предложение, не выполнено ТО оборудования, превышена смета проекта… На языке ККШ это означает добиться того, чтобы все точки, характеризующие какой-то важный параметр процесса, ложились внутрь контрольных границ. На втором этапе можно заняться кропотливой работой по совершенствованию процесса (системы). На языке ККШ это будет означать смещение среднего значения, и уменьшение коридора, образованного контрольными границами.</w:t>
      </w:r>
    </w:p>
    <w:p w14:paraId="229FE32A" w14:textId="77777777" w:rsidR="003F32FC" w:rsidRDefault="003F32FC" w:rsidP="003F32FC">
      <w:pPr>
        <w:spacing w:after="120" w:line="240" w:lineRule="auto"/>
      </w:pPr>
      <w:r>
        <w:t>В 2007 году я участвовал в переезде склада. На новой площадке одна из проблем заключалась в большом числе ошибок размещения товаров в ячейках. В первые дни после переезда инвентаризация выявляла до 30% ошибок:</w:t>
      </w:r>
    </w:p>
    <w:p w14:paraId="6ADA9487" w14:textId="77777777" w:rsidR="003F32FC" w:rsidRDefault="003F32FC" w:rsidP="003F32FC">
      <w:pPr>
        <w:spacing w:after="120" w:line="240" w:lineRule="auto"/>
      </w:pPr>
      <w:r>
        <w:rPr>
          <w:noProof/>
          <w:lang w:eastAsia="ru-RU"/>
        </w:rPr>
        <w:drawing>
          <wp:inline distT="0" distB="0" distL="0" distR="0" wp14:anchorId="3B116D4F" wp14:editId="269B4F03">
            <wp:extent cx="4286250" cy="16478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040_2. Точность размещения товаров в ячейках.jpg"/>
                    <pic:cNvPicPr/>
                  </pic:nvPicPr>
                  <pic:blipFill>
                    <a:blip r:embed="rId9">
                      <a:extLst>
                        <a:ext uri="{28A0092B-C50C-407E-A947-70E740481C1C}">
                          <a14:useLocalDpi xmlns:a14="http://schemas.microsoft.com/office/drawing/2010/main" val="0"/>
                        </a:ext>
                      </a:extLst>
                    </a:blip>
                    <a:stretch>
                      <a:fillRect/>
                    </a:stretch>
                  </pic:blipFill>
                  <pic:spPr>
                    <a:xfrm>
                      <a:off x="0" y="0"/>
                      <a:ext cx="4286250" cy="1647825"/>
                    </a:xfrm>
                    <a:prstGeom prst="rect">
                      <a:avLst/>
                    </a:prstGeom>
                  </pic:spPr>
                </pic:pic>
              </a:graphicData>
            </a:graphic>
          </wp:inline>
        </w:drawing>
      </w:r>
    </w:p>
    <w:p w14:paraId="5E80E9D0" w14:textId="77777777" w:rsidR="003F32FC" w:rsidRDefault="003F32FC" w:rsidP="003F32FC">
      <w:pPr>
        <w:pStyle w:val="af3"/>
      </w:pPr>
      <w:r>
        <w:t>Динамика сокращения ошибок размещения товаров в ячейках; каждая точка соответствует измерениям одного дня; сплошная линия – среднее значение за месяц; пунктирные линии – контрольные границы</w:t>
      </w:r>
    </w:p>
    <w:p w14:paraId="1296CAA0" w14:textId="77777777" w:rsidR="003F32FC" w:rsidRDefault="003F32FC" w:rsidP="003F32FC">
      <w:pPr>
        <w:spacing w:after="120" w:line="240" w:lineRule="auto"/>
      </w:pPr>
      <w:r>
        <w:t>На рисунке видно, что в течение пяти месяцев процесс оставался статистически управляемым: точки не выходят за контрольные границы. За это время сотрудники склада значительно усовершенствовали процесс размещения и добились снижения, как среднего значения ошибок (с 15% до 3%), так и вариабельности – расстояния между границами коридора (с 50% до 6%).</w:t>
      </w:r>
    </w:p>
    <w:p w14:paraId="3DE80B7B" w14:textId="77777777" w:rsidR="003F32FC" w:rsidRDefault="003F32FC" w:rsidP="003F32FC">
      <w:pPr>
        <w:pStyle w:val="3"/>
        <w:spacing w:before="0" w:after="120" w:line="240" w:lineRule="auto"/>
      </w:pPr>
      <w:r>
        <w:t>Контрольные границы</w:t>
      </w:r>
    </w:p>
    <w:p w14:paraId="0A0D3FBC" w14:textId="77777777" w:rsidR="003F32FC" w:rsidRDefault="003F32FC" w:rsidP="003F32FC">
      <w:pPr>
        <w:spacing w:after="120" w:line="240" w:lineRule="auto"/>
      </w:pPr>
      <w:r>
        <w:t>Наиболее часто критика подхода Шухарта направлена на произвольность выбора коэффициентов при определении контрольных границ. Уолтер Шухарт и Уильям Деминг не раз подчеркивали, что границы рассчитываются не на основании формул, используемых в статистике, а по экономическим соображениям. Вряд ли можно рассчитать объективно «верные» границы. Менеджеры могут сами формировать их в своих целях. При этом помнить, что основная задача границ – отделять причины первого и второго типа.</w:t>
      </w:r>
    </w:p>
    <w:p w14:paraId="3952BECD" w14:textId="77777777" w:rsidR="003F32FC" w:rsidRPr="00624061" w:rsidRDefault="003F32FC" w:rsidP="003F32FC">
      <w:pPr>
        <w:pStyle w:val="3"/>
        <w:spacing w:before="0" w:after="120" w:line="240" w:lineRule="auto"/>
        <w:rPr>
          <w:rFonts w:eastAsia="Times New Roman"/>
          <w:lang w:eastAsia="ru-RU"/>
        </w:rPr>
      </w:pPr>
      <w:r>
        <w:rPr>
          <w:rFonts w:eastAsia="Times New Roman"/>
          <w:lang w:eastAsia="ru-RU"/>
        </w:rPr>
        <w:t>Построение Х</w:t>
      </w:r>
      <w:r>
        <w:rPr>
          <w:rFonts w:eastAsia="Times New Roman"/>
          <w:lang w:val="en-US" w:eastAsia="ru-RU"/>
        </w:rPr>
        <w:t>mR</w:t>
      </w:r>
      <w:r>
        <w:rPr>
          <w:rFonts w:eastAsia="Times New Roman"/>
          <w:lang w:eastAsia="ru-RU"/>
        </w:rPr>
        <w:t>-карт</w:t>
      </w:r>
      <w:r w:rsidRPr="00624061">
        <w:rPr>
          <w:rFonts w:eastAsia="Times New Roman"/>
          <w:lang w:eastAsia="ru-RU"/>
        </w:rPr>
        <w:t xml:space="preserve"> (</w:t>
      </w:r>
      <w:r>
        <w:rPr>
          <w:rFonts w:eastAsia="Times New Roman"/>
          <w:lang w:eastAsia="ru-RU"/>
        </w:rPr>
        <w:t>в деталях)</w:t>
      </w:r>
    </w:p>
    <w:p w14:paraId="366E9E75" w14:textId="77777777" w:rsidR="003F32FC" w:rsidRDefault="003F32FC" w:rsidP="003F32FC">
      <w:pPr>
        <w:spacing w:after="120" w:line="240" w:lineRule="auto"/>
      </w:pPr>
      <w:r>
        <w:t>Существует много видов контрольных карт</w:t>
      </w:r>
      <w:r w:rsidRPr="0093490E">
        <w:t>.</w:t>
      </w:r>
      <w:r>
        <w:t xml:space="preserve"> Но основных – два: карта средних и индивидуальных значений. Приведенная выше карта, относится ко второму типу. Она еще называется </w:t>
      </w:r>
      <w:r>
        <w:rPr>
          <w:lang w:val="en-US"/>
        </w:rPr>
        <w:t>XmR</w:t>
      </w:r>
      <w:r>
        <w:t xml:space="preserve">-картой (где Х – значение, а </w:t>
      </w:r>
      <w:r>
        <w:rPr>
          <w:lang w:val="en-US"/>
        </w:rPr>
        <w:t>mR</w:t>
      </w:r>
      <w:r w:rsidRPr="00036E2D">
        <w:t xml:space="preserve"> – </w:t>
      </w:r>
      <w:r>
        <w:t>скользящий размах).</w:t>
      </w:r>
      <w:r w:rsidRPr="00FC1873">
        <w:t xml:space="preserve"> </w:t>
      </w:r>
      <w:r>
        <w:t>Исходные данные (столбец А на рисунке ниже) дополняют расчетом скользящего размаха, равного модулю разности последовательных значений.</w:t>
      </w:r>
      <w:r>
        <w:tab/>
      </w:r>
    </w:p>
    <w:p w14:paraId="4CC1BC21" w14:textId="77777777" w:rsidR="003F32FC" w:rsidRDefault="003F32FC" w:rsidP="003F32FC">
      <w:pPr>
        <w:spacing w:after="120" w:line="240" w:lineRule="auto"/>
      </w:pPr>
      <w:r>
        <w:rPr>
          <w:noProof/>
          <w:lang w:eastAsia="ru-RU"/>
        </w:rPr>
        <w:drawing>
          <wp:inline distT="0" distB="0" distL="0" distR="0" wp14:anchorId="2F32DB5D" wp14:editId="4D165E3E">
            <wp:extent cx="2762250" cy="212299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4. Исходные данные для построения XmR-карты.jpg"/>
                    <pic:cNvPicPr/>
                  </pic:nvPicPr>
                  <pic:blipFill rotWithShape="1">
                    <a:blip r:embed="rId10">
                      <a:extLst>
                        <a:ext uri="{28A0092B-C50C-407E-A947-70E740481C1C}">
                          <a14:useLocalDpi xmlns:a14="http://schemas.microsoft.com/office/drawing/2010/main" val="0"/>
                        </a:ext>
                      </a:extLst>
                    </a:blip>
                    <a:srcRect b="6350"/>
                    <a:stretch/>
                  </pic:blipFill>
                  <pic:spPr bwMode="auto">
                    <a:xfrm>
                      <a:off x="0" y="0"/>
                      <a:ext cx="2762250" cy="2122998"/>
                    </a:xfrm>
                    <a:prstGeom prst="rect">
                      <a:avLst/>
                    </a:prstGeom>
                    <a:ln>
                      <a:noFill/>
                    </a:ln>
                    <a:extLst>
                      <a:ext uri="{53640926-AAD7-44D8-BBD7-CCE9431645EC}">
                        <a14:shadowObscured xmlns:a14="http://schemas.microsoft.com/office/drawing/2010/main"/>
                      </a:ext>
                    </a:extLst>
                  </pic:spPr>
                </pic:pic>
              </a:graphicData>
            </a:graphic>
          </wp:inline>
        </w:drawing>
      </w:r>
    </w:p>
    <w:p w14:paraId="3F5B1EB9" w14:textId="77777777" w:rsidR="003F32FC" w:rsidRDefault="003F32FC" w:rsidP="003F32FC">
      <w:pPr>
        <w:pStyle w:val="af3"/>
      </w:pPr>
      <w:r>
        <w:t xml:space="preserve">Исходные данные для построения </w:t>
      </w:r>
      <w:r>
        <w:rPr>
          <w:lang w:val="en-US"/>
        </w:rPr>
        <w:t>XmR</w:t>
      </w:r>
      <w:r>
        <w:t>-карты</w:t>
      </w:r>
    </w:p>
    <w:p w14:paraId="25B665CB" w14:textId="77777777" w:rsidR="003F32FC" w:rsidRDefault="003F32FC" w:rsidP="003F32FC">
      <w:pPr>
        <w:spacing w:after="120" w:line="240" w:lineRule="auto"/>
        <w:rPr>
          <w:rFonts w:eastAsia="Times New Roman" w:cstheme="minorHAnsi"/>
          <w:color w:val="000000"/>
          <w:lang w:eastAsia="ru-RU"/>
        </w:rPr>
      </w:pPr>
      <w:r>
        <w:t>Границы рассчитывают по следующим формулам:</w:t>
      </w:r>
      <w:r>
        <w:br/>
      </w:r>
      <m:oMath>
        <m:sSub>
          <m:sSubPr>
            <m:ctrlPr>
              <w:rPr>
                <w:rFonts w:ascii="Cambria Math" w:hAnsi="Cambria Math"/>
                <w:i/>
              </w:rPr>
            </m:ctrlPr>
          </m:sSubPr>
          <m:e>
            <m:r>
              <w:rPr>
                <w:rFonts w:ascii="Cambria Math" w:hAnsi="Cambria Math"/>
                <w:lang w:val="en-US"/>
              </w:rPr>
              <m:t>UNPL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m:t>
        </m:r>
        <m:f>
          <m:fPr>
            <m:ctrlPr>
              <w:rPr>
                <w:rFonts w:ascii="Cambria Math" w:hAnsi="Cambria Math"/>
                <w:i/>
              </w:rPr>
            </m:ctrlPr>
          </m:fPr>
          <m:num>
            <m:r>
              <w:rPr>
                <w:rFonts w:ascii="Cambria Math" w:hAnsi="Cambria Math"/>
              </w:rPr>
              <m:t>3∙</m:t>
            </m:r>
            <m:acc>
              <m:accPr>
                <m:chr m:val="̅"/>
                <m:ctrlPr>
                  <w:rPr>
                    <w:rFonts w:ascii="Cambria Math" w:hAnsi="Cambria Math"/>
                    <w:i/>
                  </w:rPr>
                </m:ctrlPr>
              </m:accPr>
              <m:e>
                <m:r>
                  <w:rPr>
                    <w:rFonts w:ascii="Cambria Math" w:hAnsi="Cambria Math"/>
                  </w:rPr>
                  <m:t>mR</m:t>
                </m:r>
              </m:e>
            </m:acc>
          </m:num>
          <m:den>
            <m:sSub>
              <m:sSubPr>
                <m:ctrlPr>
                  <w:rPr>
                    <w:rFonts w:ascii="Cambria Math" w:hAnsi="Cambria Math"/>
                    <w:i/>
                  </w:rPr>
                </m:ctrlPr>
              </m:sSubPr>
              <m:e>
                <m:r>
                  <w:rPr>
                    <w:rFonts w:ascii="Cambria Math" w:hAnsi="Cambria Math"/>
                  </w:rPr>
                  <m:t>d</m:t>
                </m:r>
              </m:e>
              <m:sub>
                <m:r>
                  <w:rPr>
                    <w:rFonts w:ascii="Cambria Math" w:hAnsi="Cambria Math"/>
                  </w:rPr>
                  <m:t>2</m:t>
                </m:r>
              </m:sub>
            </m:sSub>
          </m:den>
        </m:f>
      </m:oMath>
      <w:r w:rsidRPr="00947124">
        <w:rPr>
          <w:rFonts w:eastAsiaTheme="minorEastAsia"/>
        </w:rPr>
        <w:t xml:space="preserve"> </w:t>
      </w:r>
      <w:r>
        <w:rPr>
          <w:rFonts w:eastAsia="Times New Roman" w:cstheme="minorHAnsi"/>
          <w:color w:val="000000"/>
          <w:lang w:eastAsia="ru-RU"/>
        </w:rPr>
        <w:t xml:space="preserve">– верхняя граница карты средних; </w:t>
      </w:r>
      <w:r>
        <w:rPr>
          <w:rFonts w:eastAsia="Times New Roman" w:cstheme="minorHAnsi"/>
          <w:color w:val="000000"/>
          <w:lang w:eastAsia="ru-RU"/>
        </w:rPr>
        <w:br/>
      </w:r>
      <m:oMath>
        <m:sSub>
          <m:sSubPr>
            <m:ctrlPr>
              <w:rPr>
                <w:rFonts w:ascii="Cambria Math" w:hAnsi="Cambria Math"/>
                <w:i/>
              </w:rPr>
            </m:ctrlPr>
          </m:sSubPr>
          <m:e>
            <m:r>
              <w:rPr>
                <w:rFonts w:ascii="Cambria Math" w:hAnsi="Cambria Math"/>
              </w:rPr>
              <m:t>CL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Pr>
          <w:rFonts w:eastAsia="Times New Roman" w:cstheme="minorHAnsi"/>
          <w:color w:val="000000"/>
          <w:lang w:eastAsia="ru-RU"/>
        </w:rPr>
        <w:t>– центральная линия карты средних;</w:t>
      </w:r>
      <w:r>
        <w:rPr>
          <w:rFonts w:eastAsia="Times New Roman" w:cstheme="minorHAnsi"/>
          <w:color w:val="000000"/>
          <w:lang w:eastAsia="ru-RU"/>
        </w:rPr>
        <w:br/>
      </w:r>
      <m:oMath>
        <m:sSub>
          <m:sSubPr>
            <m:ctrlPr>
              <w:rPr>
                <w:rFonts w:ascii="Cambria Math" w:hAnsi="Cambria Math"/>
                <w:i/>
              </w:rPr>
            </m:ctrlPr>
          </m:sSubPr>
          <m:e>
            <m:r>
              <w:rPr>
                <w:rFonts w:ascii="Cambria Math" w:hAnsi="Cambria Math"/>
                <w:lang w:val="en-US"/>
              </w:rPr>
              <m:t>LNPL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 </m:t>
        </m:r>
        <m:f>
          <m:fPr>
            <m:ctrlPr>
              <w:rPr>
                <w:rFonts w:ascii="Cambria Math" w:hAnsi="Cambria Math"/>
                <w:i/>
              </w:rPr>
            </m:ctrlPr>
          </m:fPr>
          <m:num>
            <m:r>
              <w:rPr>
                <w:rFonts w:ascii="Cambria Math" w:hAnsi="Cambria Math"/>
              </w:rPr>
              <m:t>3∙</m:t>
            </m:r>
            <m:acc>
              <m:accPr>
                <m:chr m:val="̅"/>
                <m:ctrlPr>
                  <w:rPr>
                    <w:rFonts w:ascii="Cambria Math" w:hAnsi="Cambria Math"/>
                    <w:i/>
                  </w:rPr>
                </m:ctrlPr>
              </m:accPr>
              <m:e>
                <m:r>
                  <w:rPr>
                    <w:rFonts w:ascii="Cambria Math" w:hAnsi="Cambria Math"/>
                  </w:rPr>
                  <m:t>mR</m:t>
                </m:r>
              </m:e>
            </m:acc>
          </m:num>
          <m:den>
            <m:sSub>
              <m:sSubPr>
                <m:ctrlPr>
                  <w:rPr>
                    <w:rFonts w:ascii="Cambria Math" w:hAnsi="Cambria Math"/>
                    <w:i/>
                  </w:rPr>
                </m:ctrlPr>
              </m:sSubPr>
              <m:e>
                <m:r>
                  <w:rPr>
                    <w:rFonts w:ascii="Cambria Math" w:hAnsi="Cambria Math"/>
                  </w:rPr>
                  <m:t>d</m:t>
                </m:r>
              </m:e>
              <m:sub>
                <m:r>
                  <w:rPr>
                    <w:rFonts w:ascii="Cambria Math" w:hAnsi="Cambria Math"/>
                  </w:rPr>
                  <m:t>2</m:t>
                </m:r>
              </m:sub>
            </m:sSub>
          </m:den>
        </m:f>
      </m:oMath>
      <w:r w:rsidRPr="00F168C8">
        <w:rPr>
          <w:rFonts w:eastAsiaTheme="minorEastAsia"/>
        </w:rPr>
        <w:t xml:space="preserve"> </w:t>
      </w:r>
      <w:r>
        <w:rPr>
          <w:rFonts w:eastAsia="Times New Roman" w:cstheme="minorHAnsi"/>
          <w:color w:val="000000"/>
          <w:lang w:eastAsia="ru-RU"/>
        </w:rPr>
        <w:t>– нижняя граница карты средних;</w:t>
      </w:r>
      <w:r>
        <w:rPr>
          <w:rFonts w:eastAsia="Times New Roman" w:cstheme="minorHAnsi"/>
          <w:color w:val="000000"/>
          <w:lang w:eastAsia="ru-RU"/>
        </w:rPr>
        <w:br/>
      </w:r>
      <m:oMath>
        <m:sSub>
          <m:sSubPr>
            <m:ctrlPr>
              <w:rPr>
                <w:rFonts w:ascii="Cambria Math" w:hAnsi="Cambria Math"/>
                <w:i/>
              </w:rPr>
            </m:ctrlPr>
          </m:sSubPr>
          <m:e>
            <m:r>
              <w:rPr>
                <w:rFonts w:ascii="Cambria Math" w:hAnsi="Cambria Math"/>
                <w:lang w:val="en-US"/>
              </w:rPr>
              <m:t>UCL</m:t>
            </m:r>
          </m:e>
          <m:sub>
            <m:r>
              <w:rPr>
                <w:rFonts w:ascii="Cambria Math" w:hAnsi="Cambria Math"/>
              </w:rPr>
              <m:t>R</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4</m:t>
            </m:r>
          </m:sub>
        </m:sSub>
        <m:acc>
          <m:accPr>
            <m:chr m:val="̅"/>
            <m:ctrlPr>
              <w:rPr>
                <w:rFonts w:ascii="Cambria Math" w:hAnsi="Cambria Math"/>
                <w:i/>
              </w:rPr>
            </m:ctrlPr>
          </m:accPr>
          <m:e>
            <m:r>
              <w:rPr>
                <w:rFonts w:ascii="Cambria Math" w:hAnsi="Cambria Math"/>
              </w:rPr>
              <m:t>mR</m:t>
            </m:r>
          </m:e>
        </m:acc>
      </m:oMath>
      <w:r>
        <w:rPr>
          <w:rFonts w:eastAsiaTheme="minorEastAsia"/>
        </w:rPr>
        <w:t xml:space="preserve"> </w:t>
      </w:r>
      <w:r w:rsidRPr="005B65CA">
        <w:rPr>
          <w:rFonts w:eastAsia="Times New Roman" w:cstheme="minorHAnsi"/>
          <w:color w:val="000000"/>
          <w:lang w:eastAsia="ru-RU"/>
        </w:rPr>
        <w:t xml:space="preserve">– </w:t>
      </w:r>
      <w:r>
        <w:rPr>
          <w:rFonts w:eastAsia="Times New Roman" w:cstheme="minorHAnsi"/>
          <w:color w:val="000000"/>
          <w:lang w:eastAsia="ru-RU"/>
        </w:rPr>
        <w:t>верхняя граница карты размахов;</w:t>
      </w:r>
      <w:r>
        <w:rPr>
          <w:rFonts w:eastAsia="Times New Roman" w:cstheme="minorHAnsi"/>
          <w:color w:val="000000"/>
          <w:lang w:eastAsia="ru-RU"/>
        </w:rPr>
        <w:br/>
      </w:r>
      <m:oMath>
        <m:sSub>
          <m:sSubPr>
            <m:ctrlPr>
              <w:rPr>
                <w:rFonts w:ascii="Cambria Math" w:hAnsi="Cambria Math"/>
                <w:i/>
              </w:rPr>
            </m:ctrlPr>
          </m:sSubPr>
          <m:e>
            <m:r>
              <w:rPr>
                <w:rFonts w:ascii="Cambria Math" w:hAnsi="Cambria Math"/>
              </w:rPr>
              <m:t>CL</m:t>
            </m:r>
          </m:e>
          <m:sub>
            <m:r>
              <w:rPr>
                <w:rFonts w:ascii="Cambria Math" w:hAnsi="Cambria Math"/>
                <w:lang w:val="en-US"/>
              </w:rPr>
              <m:t>R</m:t>
            </m:r>
          </m:sub>
        </m:sSub>
        <m:r>
          <w:rPr>
            <w:rFonts w:ascii="Cambria Math" w:hAnsi="Cambria Math"/>
          </w:rPr>
          <m:t xml:space="preserve">= </m:t>
        </m:r>
        <m:acc>
          <m:accPr>
            <m:chr m:val="̅"/>
            <m:ctrlPr>
              <w:rPr>
                <w:rFonts w:ascii="Cambria Math" w:hAnsi="Cambria Math"/>
                <w:i/>
              </w:rPr>
            </m:ctrlPr>
          </m:accPr>
          <m:e>
            <m:r>
              <w:rPr>
                <w:rFonts w:ascii="Cambria Math" w:hAnsi="Cambria Math"/>
              </w:rPr>
              <m:t>mR</m:t>
            </m:r>
          </m:e>
        </m:acc>
      </m:oMath>
      <w:r>
        <w:rPr>
          <w:rFonts w:eastAsiaTheme="minorEastAsia"/>
        </w:rPr>
        <w:t xml:space="preserve"> </w:t>
      </w:r>
      <w:r>
        <w:rPr>
          <w:rFonts w:eastAsia="Times New Roman" w:cstheme="minorHAnsi"/>
          <w:color w:val="000000"/>
          <w:lang w:eastAsia="ru-RU"/>
        </w:rPr>
        <w:t>– центральная линия карты размахов;</w:t>
      </w:r>
      <w:r>
        <w:rPr>
          <w:rFonts w:eastAsia="Times New Roman" w:cstheme="minorHAnsi"/>
          <w:color w:val="000000"/>
          <w:lang w:eastAsia="ru-RU"/>
        </w:rPr>
        <w:br/>
        <w:t>нижняя граница карты размахов отсутствует.</w:t>
      </w:r>
    </w:p>
    <w:p w14:paraId="616BD444" w14:textId="77777777" w:rsidR="003F32FC" w:rsidRDefault="003F32FC" w:rsidP="003F32FC">
      <w:pPr>
        <w:spacing w:after="120" w:line="240" w:lineRule="auto"/>
      </w:pPr>
      <w:r>
        <w:rPr>
          <w:rFonts w:eastAsia="Times New Roman" w:cstheme="minorHAnsi"/>
          <w:color w:val="000000"/>
          <w:lang w:eastAsia="ru-RU"/>
        </w:rPr>
        <w:t xml:space="preserve">Здесь </w:t>
      </w:r>
      <m:oMath>
        <m:acc>
          <m:accPr>
            <m:chr m:val="̅"/>
            <m:ctrlPr>
              <w:rPr>
                <w:rFonts w:ascii="Cambria Math" w:hAnsi="Cambria Math"/>
                <w:i/>
              </w:rPr>
            </m:ctrlPr>
          </m:accPr>
          <m:e>
            <m:r>
              <w:rPr>
                <w:rFonts w:ascii="Cambria Math" w:hAnsi="Cambria Math"/>
              </w:rPr>
              <m:t>mR</m:t>
            </m:r>
          </m:e>
        </m:acc>
      </m:oMath>
      <w:r>
        <w:rPr>
          <w:rFonts w:eastAsia="Times New Roman" w:cstheme="minorHAnsi"/>
        </w:rPr>
        <w:t xml:space="preserve"> – средний скользящий размах, а значения коэффициентов </w:t>
      </w:r>
      <w:r>
        <w:rPr>
          <w:rFonts w:eastAsia="Times New Roman" w:cstheme="minorHAnsi"/>
          <w:color w:val="000000"/>
          <w:lang w:val="en-US" w:eastAsia="ru-RU"/>
        </w:rPr>
        <w:t>d</w:t>
      </w:r>
      <w:r>
        <w:rPr>
          <w:rFonts w:eastAsia="Times New Roman" w:cstheme="minorHAnsi"/>
          <w:color w:val="000000"/>
          <w:vertAlign w:val="subscript"/>
          <w:lang w:eastAsia="ru-RU"/>
        </w:rPr>
        <w:t>2</w:t>
      </w:r>
      <w:r>
        <w:rPr>
          <w:rFonts w:eastAsia="Times New Roman" w:cstheme="minorHAnsi"/>
          <w:color w:val="000000"/>
          <w:lang w:eastAsia="ru-RU"/>
        </w:rPr>
        <w:t xml:space="preserve"> = 1,128 </w:t>
      </w:r>
      <w:r w:rsidRPr="009B4397">
        <w:rPr>
          <w:rFonts w:eastAsia="Times New Roman" w:cstheme="minorHAnsi"/>
          <w:color w:val="000000"/>
          <w:lang w:val="en-US" w:eastAsia="ru-RU"/>
        </w:rPr>
        <w:t>D</w:t>
      </w:r>
      <w:r w:rsidRPr="005B65CA">
        <w:rPr>
          <w:rFonts w:eastAsia="Times New Roman" w:cstheme="minorHAnsi"/>
          <w:color w:val="000000"/>
          <w:vertAlign w:val="subscript"/>
          <w:lang w:eastAsia="ru-RU"/>
        </w:rPr>
        <w:t>4</w:t>
      </w:r>
      <w:r>
        <w:t xml:space="preserve"> = 3,268.</w:t>
      </w:r>
    </w:p>
    <w:p w14:paraId="00BB2566" w14:textId="77777777" w:rsidR="003F32FC" w:rsidRPr="00EA1391" w:rsidRDefault="003F32FC" w:rsidP="003F32FC">
      <w:pPr>
        <w:spacing w:after="120" w:line="240" w:lineRule="auto"/>
      </w:pPr>
      <w:r>
        <w:rPr>
          <w:lang w:val="en-US"/>
        </w:rPr>
        <w:t>XmR</w:t>
      </w:r>
      <w:r>
        <w:t>-карта включает в себя два графика: индивидуальных значений и скользящего размаха:</w:t>
      </w:r>
    </w:p>
    <w:p w14:paraId="269674BA" w14:textId="77777777" w:rsidR="003F32FC" w:rsidRDefault="003F32FC" w:rsidP="003F32FC">
      <w:pPr>
        <w:spacing w:after="120" w:line="240" w:lineRule="auto"/>
      </w:pPr>
      <w:r>
        <w:rPr>
          <w:noProof/>
          <w:lang w:eastAsia="ru-RU"/>
        </w:rPr>
        <w:drawing>
          <wp:inline distT="0" distB="0" distL="0" distR="0" wp14:anchorId="6E2A5A18" wp14:editId="69CF484C">
            <wp:extent cx="4886325" cy="2409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5. XmR-карта индивидуальных значений и скользящего размаха.jpg"/>
                    <pic:cNvPicPr/>
                  </pic:nvPicPr>
                  <pic:blipFill>
                    <a:blip r:embed="rId11">
                      <a:extLst>
                        <a:ext uri="{28A0092B-C50C-407E-A947-70E740481C1C}">
                          <a14:useLocalDpi xmlns:a14="http://schemas.microsoft.com/office/drawing/2010/main" val="0"/>
                        </a:ext>
                      </a:extLst>
                    </a:blip>
                    <a:stretch>
                      <a:fillRect/>
                    </a:stretch>
                  </pic:blipFill>
                  <pic:spPr>
                    <a:xfrm>
                      <a:off x="0" y="0"/>
                      <a:ext cx="4886325" cy="2409825"/>
                    </a:xfrm>
                    <a:prstGeom prst="rect">
                      <a:avLst/>
                    </a:prstGeom>
                  </pic:spPr>
                </pic:pic>
              </a:graphicData>
            </a:graphic>
          </wp:inline>
        </w:drawing>
      </w:r>
    </w:p>
    <w:p w14:paraId="7508BFA9" w14:textId="77777777" w:rsidR="003F32FC" w:rsidRDefault="003F32FC" w:rsidP="003F32FC">
      <w:pPr>
        <w:pStyle w:val="af3"/>
      </w:pPr>
      <w:r>
        <w:t xml:space="preserve">Пример </w:t>
      </w:r>
      <w:r>
        <w:rPr>
          <w:lang w:val="en-US"/>
        </w:rPr>
        <w:t>XmR</w:t>
      </w:r>
      <w:r w:rsidRPr="006A56EF">
        <w:t>-</w:t>
      </w:r>
      <w:r>
        <w:t>карты индивидуальных значений и скользящего размаха</w:t>
      </w:r>
    </w:p>
    <w:p w14:paraId="6BADB5A8" w14:textId="77777777" w:rsidR="003F32FC" w:rsidRDefault="003F32FC" w:rsidP="003F32FC">
      <w:pPr>
        <w:spacing w:after="120" w:line="240" w:lineRule="auto"/>
        <w:rPr>
          <w:rFonts w:eastAsia="Times New Roman" w:cstheme="minorHAnsi"/>
          <w:color w:val="000000"/>
          <w:lang w:eastAsia="ru-RU"/>
        </w:rPr>
      </w:pPr>
      <w:r w:rsidRPr="005D015C">
        <w:t>Дональд Уилер, Дэвид Чамберс. Статистическое управление процессами</w:t>
      </w:r>
      <w:r>
        <w:t xml:space="preserve">. </w:t>
      </w:r>
      <w:r w:rsidRPr="009B4397">
        <w:rPr>
          <w:rFonts w:eastAsia="Times New Roman" w:cstheme="minorHAnsi"/>
          <w:color w:val="000000"/>
          <w:lang w:eastAsia="ru-RU"/>
        </w:rPr>
        <w:t>Оптимизация бизнеса с использованием контрольных карт Шухарта. М</w:t>
      </w:r>
      <w:r>
        <w:rPr>
          <w:rFonts w:eastAsia="Times New Roman" w:cstheme="minorHAnsi"/>
          <w:color w:val="000000"/>
          <w:lang w:eastAsia="ru-RU"/>
        </w:rPr>
        <w:t>.</w:t>
      </w:r>
      <w:r w:rsidRPr="009B4397">
        <w:rPr>
          <w:rFonts w:eastAsia="Times New Roman" w:cstheme="minorHAnsi"/>
          <w:color w:val="000000"/>
          <w:lang w:eastAsia="ru-RU"/>
        </w:rPr>
        <w:t xml:space="preserve">: Альпина </w:t>
      </w:r>
      <w:r>
        <w:rPr>
          <w:rFonts w:eastAsia="Times New Roman" w:cstheme="minorHAnsi"/>
          <w:color w:val="000000"/>
          <w:lang w:eastAsia="ru-RU"/>
        </w:rPr>
        <w:t>Паблишер</w:t>
      </w:r>
      <w:r w:rsidRPr="009B4397">
        <w:rPr>
          <w:rFonts w:eastAsia="Times New Roman" w:cstheme="minorHAnsi"/>
          <w:color w:val="000000"/>
          <w:lang w:eastAsia="ru-RU"/>
        </w:rPr>
        <w:t>, 20</w:t>
      </w:r>
      <w:r>
        <w:rPr>
          <w:rFonts w:eastAsia="Times New Roman" w:cstheme="minorHAnsi"/>
          <w:color w:val="000000"/>
          <w:lang w:eastAsia="ru-RU"/>
        </w:rPr>
        <w:t>16</w:t>
      </w:r>
      <w:r w:rsidRPr="009B4397">
        <w:rPr>
          <w:rFonts w:eastAsia="Times New Roman" w:cstheme="minorHAnsi"/>
          <w:color w:val="000000"/>
          <w:lang w:eastAsia="ru-RU"/>
        </w:rPr>
        <w:t>. – 4</w:t>
      </w:r>
      <w:r>
        <w:rPr>
          <w:rFonts w:eastAsia="Times New Roman" w:cstheme="minorHAnsi"/>
          <w:color w:val="000000"/>
          <w:lang w:eastAsia="ru-RU"/>
        </w:rPr>
        <w:t xml:space="preserve">10 с. </w:t>
      </w:r>
      <w:r w:rsidRPr="00C419CF">
        <w:rPr>
          <w:rFonts w:eastAsia="Times New Roman" w:cstheme="minorHAnsi"/>
          <w:lang w:eastAsia="ru-RU"/>
        </w:rPr>
        <w:t>Конспект</w:t>
      </w:r>
      <w:r>
        <w:rPr>
          <w:rFonts w:eastAsia="Times New Roman" w:cstheme="minorHAnsi"/>
          <w:color w:val="000000"/>
          <w:lang w:eastAsia="ru-RU"/>
        </w:rPr>
        <w:t xml:space="preserve">: </w:t>
      </w:r>
      <w:hyperlink r:id="rId12" w:history="1">
        <w:r w:rsidRPr="00B967E3">
          <w:rPr>
            <w:rStyle w:val="a9"/>
            <w:rFonts w:eastAsia="Times New Roman" w:cstheme="minorHAnsi"/>
            <w:lang w:eastAsia="ru-RU"/>
          </w:rPr>
          <w:t>http://baguzin.ru/wp/?p=15577</w:t>
        </w:r>
      </w:hyperlink>
    </w:p>
    <w:p w14:paraId="021EEEFD" w14:textId="77777777" w:rsidR="003F32FC" w:rsidRDefault="003F32FC" w:rsidP="003F32FC">
      <w:pPr>
        <w:spacing w:after="120" w:line="240" w:lineRule="auto"/>
      </w:pPr>
      <w:r w:rsidRPr="00590084">
        <w:rPr>
          <w:rFonts w:eastAsia="Times New Roman" w:cstheme="minorHAnsi"/>
          <w:color w:val="000000"/>
          <w:lang w:eastAsia="ru-RU"/>
        </w:rPr>
        <w:t>У</w:t>
      </w:r>
      <w:r>
        <w:rPr>
          <w:rFonts w:eastAsia="Times New Roman" w:cstheme="minorHAnsi"/>
          <w:color w:val="000000"/>
          <w:lang w:eastAsia="ru-RU"/>
        </w:rPr>
        <w:t>ильям</w:t>
      </w:r>
      <w:r w:rsidRPr="00590084">
        <w:rPr>
          <w:rFonts w:eastAsia="Times New Roman" w:cstheme="minorHAnsi"/>
          <w:color w:val="000000"/>
          <w:lang w:eastAsia="ru-RU"/>
        </w:rPr>
        <w:t xml:space="preserve"> Эдвардс Деминг. Выход из кризиса: Новая парадигма управления людьми, системами и процессами</w:t>
      </w:r>
      <w:r>
        <w:t xml:space="preserve">. – М.: Альпина Паблишер, 2011. – 424 с. </w:t>
      </w:r>
      <w:r w:rsidRPr="00C419CF">
        <w:t>Конспект</w:t>
      </w:r>
      <w:r>
        <w:t xml:space="preserve">: </w:t>
      </w:r>
      <w:hyperlink r:id="rId13" w:history="1">
        <w:r w:rsidRPr="00B967E3">
          <w:rPr>
            <w:rStyle w:val="a9"/>
          </w:rPr>
          <w:t>http://baguzin.ru/wp/?p=2138</w:t>
        </w:r>
      </w:hyperlink>
    </w:p>
    <w:p w14:paraId="77C3043F" w14:textId="77777777" w:rsidR="003F32FC" w:rsidRDefault="003F32FC" w:rsidP="003F32FC">
      <w:pPr>
        <w:spacing w:after="120" w:line="240" w:lineRule="auto"/>
        <w:rPr>
          <w:rStyle w:val="a9"/>
        </w:rPr>
      </w:pPr>
      <w:r w:rsidRPr="00C419CF">
        <w:t>ГОСТ Р 50779.42-99</w:t>
      </w:r>
      <w:r>
        <w:t>. Статистиче</w:t>
      </w:r>
      <w:r w:rsidRPr="0093490E">
        <w:t>ские методы. Контрольные карты Шухарта</w:t>
      </w:r>
      <w:r>
        <w:t xml:space="preserve">: </w:t>
      </w:r>
      <w:hyperlink r:id="rId14" w:history="1">
        <w:r w:rsidRPr="00B967E3">
          <w:rPr>
            <w:rStyle w:val="a9"/>
          </w:rPr>
          <w:t>http://docs.cntd.ru/document/gost-r-50779-42-99</w:t>
        </w:r>
      </w:hyperlink>
    </w:p>
    <w:p w14:paraId="3A7AD12F" w14:textId="0D1EC59A" w:rsidR="003F32FC" w:rsidRPr="003F32FC" w:rsidRDefault="003F32FC" w:rsidP="003F32FC">
      <w:pPr>
        <w:spacing w:after="120" w:line="240" w:lineRule="auto"/>
        <w:rPr>
          <w:color w:val="0000FF" w:themeColor="hyperlink"/>
          <w:u w:val="single"/>
        </w:rPr>
      </w:pPr>
      <w:r>
        <w:rPr>
          <w:rFonts w:eastAsia="Times New Roman" w:cstheme="minorHAnsi"/>
          <w:color w:val="000000"/>
          <w:lang w:eastAsia="ru-RU"/>
        </w:rPr>
        <w:t xml:space="preserve">Сергей Багузин. </w:t>
      </w:r>
      <w:r w:rsidRPr="00D46737">
        <w:rPr>
          <w:rFonts w:eastAsia="Times New Roman" w:cstheme="minorHAnsi"/>
          <w:color w:val="000000"/>
          <w:lang w:eastAsia="ru-RU"/>
        </w:rPr>
        <w:t>Управление размещением товаров на складе с использованием контрольных карт Шухарта</w:t>
      </w:r>
      <w:r>
        <w:rPr>
          <w:rFonts w:eastAsia="Times New Roman" w:cstheme="minorHAnsi"/>
          <w:color w:val="000000"/>
          <w:lang w:eastAsia="ru-RU"/>
        </w:rPr>
        <w:t xml:space="preserve"> // Журнал «Менеджмент качества», 2010, №4, с. 300–310. См. </w:t>
      </w:r>
      <w:hyperlink r:id="rId15" w:history="1">
        <w:r w:rsidRPr="00B76AF9">
          <w:rPr>
            <w:rStyle w:val="a9"/>
            <w:rFonts w:eastAsia="Times New Roman" w:cstheme="minorHAnsi"/>
            <w:lang w:eastAsia="ru-RU"/>
          </w:rPr>
          <w:t>http://baguzin.ru/wp/?p=610</w:t>
        </w:r>
      </w:hyperlink>
      <w:bookmarkStart w:id="0" w:name="_GoBack"/>
      <w:bookmarkEnd w:id="0"/>
    </w:p>
    <w:sectPr w:rsidR="003F32FC" w:rsidRPr="003F32FC"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BC84" w14:textId="77777777" w:rsidR="003F32FC" w:rsidRDefault="003F32FC" w:rsidP="000475CD">
      <w:pPr>
        <w:spacing w:after="0" w:line="240" w:lineRule="auto"/>
      </w:pPr>
      <w:r>
        <w:separator/>
      </w:r>
    </w:p>
  </w:endnote>
  <w:endnote w:type="continuationSeparator" w:id="0">
    <w:p w14:paraId="47CD08C4" w14:textId="77777777" w:rsidR="003F32FC" w:rsidRDefault="003F32FC"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711EE" w14:textId="77777777" w:rsidR="003F32FC" w:rsidRDefault="003F32FC" w:rsidP="000475CD">
      <w:pPr>
        <w:spacing w:after="0" w:line="240" w:lineRule="auto"/>
      </w:pPr>
      <w:r>
        <w:separator/>
      </w:r>
    </w:p>
  </w:footnote>
  <w:footnote w:type="continuationSeparator" w:id="0">
    <w:p w14:paraId="70278B9E" w14:textId="77777777" w:rsidR="003F32FC" w:rsidRDefault="003F32FC"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9D3"/>
    <w:multiLevelType w:val="hybridMultilevel"/>
    <w:tmpl w:val="4212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F021D"/>
    <w:multiLevelType w:val="hybridMultilevel"/>
    <w:tmpl w:val="746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608C3"/>
    <w:multiLevelType w:val="hybridMultilevel"/>
    <w:tmpl w:val="BA84EF00"/>
    <w:lvl w:ilvl="0" w:tplc="04190011">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FF099D"/>
    <w:multiLevelType w:val="hybridMultilevel"/>
    <w:tmpl w:val="2B1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805E00"/>
    <w:multiLevelType w:val="hybridMultilevel"/>
    <w:tmpl w:val="CA4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21C57"/>
    <w:multiLevelType w:val="hybridMultilevel"/>
    <w:tmpl w:val="E1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15:restartNumberingAfterBreak="0">
    <w:nsid w:val="7F2C03CC"/>
    <w:multiLevelType w:val="hybridMultilevel"/>
    <w:tmpl w:val="ED3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22"/>
  </w:num>
  <w:num w:numId="4">
    <w:abstractNumId w:val="1"/>
  </w:num>
  <w:num w:numId="5">
    <w:abstractNumId w:val="7"/>
  </w:num>
  <w:num w:numId="6">
    <w:abstractNumId w:val="8"/>
  </w:num>
  <w:num w:numId="7">
    <w:abstractNumId w:val="26"/>
  </w:num>
  <w:num w:numId="8">
    <w:abstractNumId w:val="5"/>
  </w:num>
  <w:num w:numId="9">
    <w:abstractNumId w:val="13"/>
  </w:num>
  <w:num w:numId="10">
    <w:abstractNumId w:val="23"/>
  </w:num>
  <w:num w:numId="11">
    <w:abstractNumId w:val="4"/>
  </w:num>
  <w:num w:numId="12">
    <w:abstractNumId w:val="16"/>
  </w:num>
  <w:num w:numId="13">
    <w:abstractNumId w:val="17"/>
  </w:num>
  <w:num w:numId="14">
    <w:abstractNumId w:val="9"/>
  </w:num>
  <w:num w:numId="15">
    <w:abstractNumId w:val="2"/>
  </w:num>
  <w:num w:numId="16">
    <w:abstractNumId w:val="27"/>
  </w:num>
  <w:num w:numId="17">
    <w:abstractNumId w:val="6"/>
  </w:num>
  <w:num w:numId="18">
    <w:abstractNumId w:val="21"/>
  </w:num>
  <w:num w:numId="19">
    <w:abstractNumId w:val="24"/>
  </w:num>
  <w:num w:numId="20">
    <w:abstractNumId w:val="20"/>
  </w:num>
  <w:num w:numId="21">
    <w:abstractNumId w:val="18"/>
  </w:num>
  <w:num w:numId="22">
    <w:abstractNumId w:val="25"/>
  </w:num>
  <w:num w:numId="23">
    <w:abstractNumId w:val="0"/>
  </w:num>
  <w:num w:numId="24">
    <w:abstractNumId w:val="28"/>
  </w:num>
  <w:num w:numId="25">
    <w:abstractNumId w:val="12"/>
  </w:num>
  <w:num w:numId="26">
    <w:abstractNumId w:val="3"/>
  </w:num>
  <w:num w:numId="27">
    <w:abstractNumId w:val="11"/>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1D95"/>
    <w:rsid w:val="00086E8D"/>
    <w:rsid w:val="00087130"/>
    <w:rsid w:val="000A414F"/>
    <w:rsid w:val="000A6223"/>
    <w:rsid w:val="000B0D63"/>
    <w:rsid w:val="000B22FA"/>
    <w:rsid w:val="000B5831"/>
    <w:rsid w:val="000C74AD"/>
    <w:rsid w:val="000D00EB"/>
    <w:rsid w:val="000E4C3D"/>
    <w:rsid w:val="000F37AB"/>
    <w:rsid w:val="00107F76"/>
    <w:rsid w:val="00113534"/>
    <w:rsid w:val="001179BB"/>
    <w:rsid w:val="00124F9D"/>
    <w:rsid w:val="00125B8F"/>
    <w:rsid w:val="00133EFD"/>
    <w:rsid w:val="0013492F"/>
    <w:rsid w:val="00143EDD"/>
    <w:rsid w:val="00155CA6"/>
    <w:rsid w:val="001609FB"/>
    <w:rsid w:val="00163CE1"/>
    <w:rsid w:val="00171D34"/>
    <w:rsid w:val="0017765D"/>
    <w:rsid w:val="00186ABC"/>
    <w:rsid w:val="001C4E9E"/>
    <w:rsid w:val="001D75E3"/>
    <w:rsid w:val="001E2FE2"/>
    <w:rsid w:val="001E311C"/>
    <w:rsid w:val="001E3415"/>
    <w:rsid w:val="002013F6"/>
    <w:rsid w:val="00202DB2"/>
    <w:rsid w:val="002076AC"/>
    <w:rsid w:val="002078A3"/>
    <w:rsid w:val="00214CD7"/>
    <w:rsid w:val="00215B27"/>
    <w:rsid w:val="00220EC4"/>
    <w:rsid w:val="00223278"/>
    <w:rsid w:val="002247E2"/>
    <w:rsid w:val="002265B7"/>
    <w:rsid w:val="0022683D"/>
    <w:rsid w:val="00230E79"/>
    <w:rsid w:val="00231113"/>
    <w:rsid w:val="00233115"/>
    <w:rsid w:val="00236D8A"/>
    <w:rsid w:val="00243B00"/>
    <w:rsid w:val="00244F1C"/>
    <w:rsid w:val="0025360A"/>
    <w:rsid w:val="00262E55"/>
    <w:rsid w:val="002633C8"/>
    <w:rsid w:val="00274D75"/>
    <w:rsid w:val="00275047"/>
    <w:rsid w:val="002752B3"/>
    <w:rsid w:val="002868D6"/>
    <w:rsid w:val="00291FE8"/>
    <w:rsid w:val="002938CC"/>
    <w:rsid w:val="00297D47"/>
    <w:rsid w:val="002A438F"/>
    <w:rsid w:val="002B1DBF"/>
    <w:rsid w:val="002C37E6"/>
    <w:rsid w:val="002C5FB8"/>
    <w:rsid w:val="002C7849"/>
    <w:rsid w:val="002D069E"/>
    <w:rsid w:val="002D788D"/>
    <w:rsid w:val="002E1A7A"/>
    <w:rsid w:val="002F0BF8"/>
    <w:rsid w:val="002F4590"/>
    <w:rsid w:val="002F5024"/>
    <w:rsid w:val="002F56FC"/>
    <w:rsid w:val="00306C63"/>
    <w:rsid w:val="00311F25"/>
    <w:rsid w:val="00312912"/>
    <w:rsid w:val="003212AA"/>
    <w:rsid w:val="00324923"/>
    <w:rsid w:val="00325505"/>
    <w:rsid w:val="00335B8C"/>
    <w:rsid w:val="00345C3A"/>
    <w:rsid w:val="003542AB"/>
    <w:rsid w:val="00373B15"/>
    <w:rsid w:val="00384FB1"/>
    <w:rsid w:val="003873D0"/>
    <w:rsid w:val="0039042D"/>
    <w:rsid w:val="003B42B1"/>
    <w:rsid w:val="003C4E6B"/>
    <w:rsid w:val="003D07D6"/>
    <w:rsid w:val="003D2918"/>
    <w:rsid w:val="003D5DB3"/>
    <w:rsid w:val="003E2B79"/>
    <w:rsid w:val="003E3B4F"/>
    <w:rsid w:val="003F0322"/>
    <w:rsid w:val="003F32FC"/>
    <w:rsid w:val="003F7615"/>
    <w:rsid w:val="004066FA"/>
    <w:rsid w:val="004073D4"/>
    <w:rsid w:val="00422155"/>
    <w:rsid w:val="00431E00"/>
    <w:rsid w:val="00434EE4"/>
    <w:rsid w:val="00451AE1"/>
    <w:rsid w:val="00472A37"/>
    <w:rsid w:val="00473EB2"/>
    <w:rsid w:val="00475D13"/>
    <w:rsid w:val="00477376"/>
    <w:rsid w:val="004825B8"/>
    <w:rsid w:val="00482E03"/>
    <w:rsid w:val="004959D0"/>
    <w:rsid w:val="00496AD8"/>
    <w:rsid w:val="004A191B"/>
    <w:rsid w:val="004A4830"/>
    <w:rsid w:val="004B2E15"/>
    <w:rsid w:val="004B3FF6"/>
    <w:rsid w:val="004C3826"/>
    <w:rsid w:val="004D0C6D"/>
    <w:rsid w:val="004D4091"/>
    <w:rsid w:val="004D5D90"/>
    <w:rsid w:val="004E7B38"/>
    <w:rsid w:val="00512585"/>
    <w:rsid w:val="005211AC"/>
    <w:rsid w:val="00543152"/>
    <w:rsid w:val="005442BE"/>
    <w:rsid w:val="00544968"/>
    <w:rsid w:val="005767CE"/>
    <w:rsid w:val="0059333B"/>
    <w:rsid w:val="005A7B19"/>
    <w:rsid w:val="005B1632"/>
    <w:rsid w:val="005B6151"/>
    <w:rsid w:val="005D0A32"/>
    <w:rsid w:val="005E425B"/>
    <w:rsid w:val="005F392B"/>
    <w:rsid w:val="005F64FF"/>
    <w:rsid w:val="006052A6"/>
    <w:rsid w:val="00612A2A"/>
    <w:rsid w:val="00617313"/>
    <w:rsid w:val="00627A60"/>
    <w:rsid w:val="00644A2C"/>
    <w:rsid w:val="0064565F"/>
    <w:rsid w:val="00651449"/>
    <w:rsid w:val="00652CA1"/>
    <w:rsid w:val="006621EC"/>
    <w:rsid w:val="00662E07"/>
    <w:rsid w:val="00670863"/>
    <w:rsid w:val="00673765"/>
    <w:rsid w:val="00687699"/>
    <w:rsid w:val="0069334E"/>
    <w:rsid w:val="00693D9E"/>
    <w:rsid w:val="00695F83"/>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67F32"/>
    <w:rsid w:val="007828ED"/>
    <w:rsid w:val="007A67C1"/>
    <w:rsid w:val="007B557A"/>
    <w:rsid w:val="007C1463"/>
    <w:rsid w:val="007C56BF"/>
    <w:rsid w:val="007D5909"/>
    <w:rsid w:val="007E660D"/>
    <w:rsid w:val="007F6CF4"/>
    <w:rsid w:val="007F73A4"/>
    <w:rsid w:val="007F79CB"/>
    <w:rsid w:val="00803167"/>
    <w:rsid w:val="0080316C"/>
    <w:rsid w:val="00817B48"/>
    <w:rsid w:val="00822263"/>
    <w:rsid w:val="00826B4B"/>
    <w:rsid w:val="00835D8D"/>
    <w:rsid w:val="00846F83"/>
    <w:rsid w:val="00847F8F"/>
    <w:rsid w:val="00870176"/>
    <w:rsid w:val="00873DD4"/>
    <w:rsid w:val="0087778E"/>
    <w:rsid w:val="00877A90"/>
    <w:rsid w:val="008820E2"/>
    <w:rsid w:val="00882297"/>
    <w:rsid w:val="00883A8E"/>
    <w:rsid w:val="00894277"/>
    <w:rsid w:val="008A6D98"/>
    <w:rsid w:val="008B6271"/>
    <w:rsid w:val="008D1023"/>
    <w:rsid w:val="008D4240"/>
    <w:rsid w:val="008F103F"/>
    <w:rsid w:val="0090200B"/>
    <w:rsid w:val="009029FB"/>
    <w:rsid w:val="009174EE"/>
    <w:rsid w:val="009238EC"/>
    <w:rsid w:val="00923980"/>
    <w:rsid w:val="00931CB8"/>
    <w:rsid w:val="00936C55"/>
    <w:rsid w:val="009464BA"/>
    <w:rsid w:val="0095568B"/>
    <w:rsid w:val="00956307"/>
    <w:rsid w:val="00957EF6"/>
    <w:rsid w:val="0096043C"/>
    <w:rsid w:val="00975419"/>
    <w:rsid w:val="00981A89"/>
    <w:rsid w:val="00986D46"/>
    <w:rsid w:val="009B2AAD"/>
    <w:rsid w:val="009B53B8"/>
    <w:rsid w:val="009C5CFA"/>
    <w:rsid w:val="009D2E10"/>
    <w:rsid w:val="009E230B"/>
    <w:rsid w:val="009E4C3F"/>
    <w:rsid w:val="009F22E9"/>
    <w:rsid w:val="009F5241"/>
    <w:rsid w:val="00A03D99"/>
    <w:rsid w:val="00A03FA9"/>
    <w:rsid w:val="00A135ED"/>
    <w:rsid w:val="00A13635"/>
    <w:rsid w:val="00A22CF3"/>
    <w:rsid w:val="00A279F8"/>
    <w:rsid w:val="00A27D49"/>
    <w:rsid w:val="00A3707D"/>
    <w:rsid w:val="00A447AC"/>
    <w:rsid w:val="00A60EEF"/>
    <w:rsid w:val="00A77930"/>
    <w:rsid w:val="00A8094D"/>
    <w:rsid w:val="00A92122"/>
    <w:rsid w:val="00A92F1D"/>
    <w:rsid w:val="00AA48B5"/>
    <w:rsid w:val="00AA67C4"/>
    <w:rsid w:val="00AA7F42"/>
    <w:rsid w:val="00AB3621"/>
    <w:rsid w:val="00AD25A6"/>
    <w:rsid w:val="00AF057D"/>
    <w:rsid w:val="00B1110A"/>
    <w:rsid w:val="00B1149D"/>
    <w:rsid w:val="00B12361"/>
    <w:rsid w:val="00B12791"/>
    <w:rsid w:val="00B14956"/>
    <w:rsid w:val="00B14DF1"/>
    <w:rsid w:val="00B15F0C"/>
    <w:rsid w:val="00B17DB9"/>
    <w:rsid w:val="00B30ACC"/>
    <w:rsid w:val="00B3762D"/>
    <w:rsid w:val="00B4128D"/>
    <w:rsid w:val="00B41648"/>
    <w:rsid w:val="00B53AAE"/>
    <w:rsid w:val="00B56055"/>
    <w:rsid w:val="00B6699D"/>
    <w:rsid w:val="00B715FE"/>
    <w:rsid w:val="00B82EC8"/>
    <w:rsid w:val="00B868B0"/>
    <w:rsid w:val="00BA51C5"/>
    <w:rsid w:val="00BA7376"/>
    <w:rsid w:val="00BB31A8"/>
    <w:rsid w:val="00BD206B"/>
    <w:rsid w:val="00BD59CA"/>
    <w:rsid w:val="00BE30B5"/>
    <w:rsid w:val="00BF5289"/>
    <w:rsid w:val="00C07B7B"/>
    <w:rsid w:val="00C147DB"/>
    <w:rsid w:val="00C21341"/>
    <w:rsid w:val="00C32E8B"/>
    <w:rsid w:val="00C363B1"/>
    <w:rsid w:val="00C5315B"/>
    <w:rsid w:val="00C82D4C"/>
    <w:rsid w:val="00C90383"/>
    <w:rsid w:val="00C97443"/>
    <w:rsid w:val="00CA131A"/>
    <w:rsid w:val="00CB5A9E"/>
    <w:rsid w:val="00CE0DD7"/>
    <w:rsid w:val="00CE105A"/>
    <w:rsid w:val="00CE3560"/>
    <w:rsid w:val="00CE6CA1"/>
    <w:rsid w:val="00CF097B"/>
    <w:rsid w:val="00CF78A9"/>
    <w:rsid w:val="00D0067D"/>
    <w:rsid w:val="00D04813"/>
    <w:rsid w:val="00D124D2"/>
    <w:rsid w:val="00D14EB6"/>
    <w:rsid w:val="00D20E37"/>
    <w:rsid w:val="00D24F9E"/>
    <w:rsid w:val="00D3175B"/>
    <w:rsid w:val="00D377DC"/>
    <w:rsid w:val="00D4040B"/>
    <w:rsid w:val="00D42347"/>
    <w:rsid w:val="00D466E6"/>
    <w:rsid w:val="00D4730E"/>
    <w:rsid w:val="00D5379E"/>
    <w:rsid w:val="00D53E4B"/>
    <w:rsid w:val="00D55B84"/>
    <w:rsid w:val="00D62A0D"/>
    <w:rsid w:val="00D63D73"/>
    <w:rsid w:val="00D70F6A"/>
    <w:rsid w:val="00D864EC"/>
    <w:rsid w:val="00D942D6"/>
    <w:rsid w:val="00D94608"/>
    <w:rsid w:val="00DA2449"/>
    <w:rsid w:val="00DA4227"/>
    <w:rsid w:val="00DA5127"/>
    <w:rsid w:val="00DA6432"/>
    <w:rsid w:val="00DA7328"/>
    <w:rsid w:val="00DB7FB9"/>
    <w:rsid w:val="00DC024E"/>
    <w:rsid w:val="00DC20EB"/>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1809"/>
    <w:rsid w:val="00E62A4F"/>
    <w:rsid w:val="00E62AFD"/>
    <w:rsid w:val="00E62E3F"/>
    <w:rsid w:val="00E64A79"/>
    <w:rsid w:val="00E67046"/>
    <w:rsid w:val="00E71FD5"/>
    <w:rsid w:val="00E8482D"/>
    <w:rsid w:val="00E85164"/>
    <w:rsid w:val="00E86257"/>
    <w:rsid w:val="00E93261"/>
    <w:rsid w:val="00EA4E47"/>
    <w:rsid w:val="00EB0F70"/>
    <w:rsid w:val="00EB11D1"/>
    <w:rsid w:val="00ED2C5D"/>
    <w:rsid w:val="00EF7029"/>
    <w:rsid w:val="00F028BB"/>
    <w:rsid w:val="00F15470"/>
    <w:rsid w:val="00F17E00"/>
    <w:rsid w:val="00F41A92"/>
    <w:rsid w:val="00F42C71"/>
    <w:rsid w:val="00F50842"/>
    <w:rsid w:val="00F52EED"/>
    <w:rsid w:val="00F569C0"/>
    <w:rsid w:val="00F64B84"/>
    <w:rsid w:val="00F76EDE"/>
    <w:rsid w:val="00F8127F"/>
    <w:rsid w:val="00F82EC3"/>
    <w:rsid w:val="00F95A26"/>
    <w:rsid w:val="00FB0170"/>
    <w:rsid w:val="00FB473E"/>
    <w:rsid w:val="00FC3B23"/>
    <w:rsid w:val="00FC676B"/>
    <w:rsid w:val="00FD38D6"/>
    <w:rsid w:val="00FE33E7"/>
    <w:rsid w:val="00FF0F7F"/>
    <w:rsid w:val="00FF1A7F"/>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spacing w:after="120" w:line="240" w:lineRule="auto"/>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guzin.ru/wp/?p=21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55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baguzin.ru/wp/?p=610"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ocs.cntd.ru/document/gost-r-50779-4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3E83-4F9F-43DA-8056-0AFF4F9A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2</cp:revision>
  <cp:lastPrinted>2020-04-05T13:58:00Z</cp:lastPrinted>
  <dcterms:created xsi:type="dcterms:W3CDTF">2020-04-05T14:27:00Z</dcterms:created>
  <dcterms:modified xsi:type="dcterms:W3CDTF">2020-04-05T14:27:00Z</dcterms:modified>
</cp:coreProperties>
</file>