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15E390FD" w:rsidR="00CE6CA1" w:rsidRDefault="000C44A6" w:rsidP="006143FB">
      <w:pPr>
        <w:pStyle w:val="2"/>
        <w:spacing w:before="0" w:after="120"/>
      </w:pPr>
      <w:r w:rsidRPr="000C44A6">
        <w:t>Финансовые рынки</w:t>
      </w:r>
    </w:p>
    <w:p w14:paraId="60AA2AF2" w14:textId="6192E3CE" w:rsidR="007B116A" w:rsidRDefault="003B29AC" w:rsidP="000C44A6">
      <w:r w:rsidRPr="003B29AC">
        <w:t xml:space="preserve">В 1992 г. </w:t>
      </w:r>
      <w:hyperlink r:id="rId8" w:history="1">
        <w:r w:rsidRPr="003B29AC">
          <w:rPr>
            <w:rStyle w:val="a9"/>
          </w:rPr>
          <w:t>Джордж Сорос</w:t>
        </w:r>
      </w:hyperlink>
      <w:r w:rsidRPr="003B29AC">
        <w:t xml:space="preserve"> </w:t>
      </w:r>
      <w:r>
        <w:t>поставил на</w:t>
      </w:r>
      <w:r w:rsidRPr="003B29AC">
        <w:t xml:space="preserve"> девальвацию фунта стерлингов по отношению к немецкой марке</w:t>
      </w:r>
      <w:r w:rsidR="001C3EE8">
        <w:t xml:space="preserve">. В </w:t>
      </w:r>
      <w:hyperlink r:id="rId9" w:history="1">
        <w:r w:rsidR="001C3EE8" w:rsidRPr="001C3EE8">
          <w:rPr>
            <w:rStyle w:val="a9"/>
          </w:rPr>
          <w:t>черную среду</w:t>
        </w:r>
      </w:hyperlink>
      <w:r w:rsidR="001C3EE8">
        <w:t xml:space="preserve"> </w:t>
      </w:r>
      <w:r w:rsidR="001C3EE8" w:rsidRPr="003B29AC">
        <w:t>16 сентября 1992 г.</w:t>
      </w:r>
      <w:r w:rsidR="001C3EE8">
        <w:t xml:space="preserve"> </w:t>
      </w:r>
      <w:r w:rsidRPr="003B29AC">
        <w:t>фунт действительно обесценился</w:t>
      </w:r>
      <w:r w:rsidR="001C3EE8">
        <w:t>,</w:t>
      </w:r>
      <w:r w:rsidRPr="003B29AC">
        <w:t xml:space="preserve"> </w:t>
      </w:r>
      <w:r w:rsidR="001C3EE8">
        <w:t>и</w:t>
      </w:r>
      <w:r w:rsidRPr="003B29AC">
        <w:t xml:space="preserve"> Сорос </w:t>
      </w:r>
      <w:r w:rsidR="001C3EE8">
        <w:t xml:space="preserve">заработал </w:t>
      </w:r>
      <w:r w:rsidR="00CA6A49">
        <w:t xml:space="preserve">порядка 1 млрд. долл. </w:t>
      </w:r>
      <w:r w:rsidRPr="003B29AC">
        <w:t xml:space="preserve">Сорос рассказывал, что руководствовался так называемой «теорией рефлексивности». Однако позднее он писал, что </w:t>
      </w:r>
      <w:r w:rsidR="005C61BB">
        <w:t>часто</w:t>
      </w:r>
      <w:r w:rsidRPr="003B29AC">
        <w:t xml:space="preserve"> его теория оказывалась несостоятельной, </w:t>
      </w:r>
      <w:r w:rsidR="005C61BB">
        <w:t>и он ее не использовал.</w:t>
      </w:r>
      <w:r w:rsidRPr="003B29AC">
        <w:t xml:space="preserve"> </w:t>
      </w:r>
      <w:r w:rsidR="005C61BB">
        <w:t>Т</w:t>
      </w:r>
      <w:r w:rsidRPr="003B29AC">
        <w:t>очнее всего Сороса охарактеризовал его сын Роберт: «Мой отец выдумывал массу теорий, объясняя, почему он сделал то или это. Но я помню, как в детстве слушал его и думал: черт возьми, да половина из этого какой-то бред собачий! Например, он изменил свои позиции на рынке просто потому, что у него дико разболелась спина, и он решил, что это знак».</w:t>
      </w:r>
    </w:p>
    <w:p w14:paraId="0A4CD03B" w14:textId="58A92381" w:rsidR="00CA6A49" w:rsidRDefault="00CA6A49" w:rsidP="000C44A6">
      <w:r>
        <w:t>Ряд аналитиков обвиняют</w:t>
      </w:r>
      <w:r w:rsidRPr="00CA6A49">
        <w:t xml:space="preserve"> Сорос</w:t>
      </w:r>
      <w:r>
        <w:t>а в</w:t>
      </w:r>
      <w:r w:rsidRPr="00CA6A49">
        <w:t xml:space="preserve"> использ</w:t>
      </w:r>
      <w:r>
        <w:t>овании</w:t>
      </w:r>
      <w:r w:rsidRPr="00CA6A49">
        <w:t xml:space="preserve"> инсайдерск</w:t>
      </w:r>
      <w:r>
        <w:t>ой</w:t>
      </w:r>
      <w:r w:rsidRPr="00CA6A49">
        <w:t xml:space="preserve"> информаци</w:t>
      </w:r>
      <w:r>
        <w:t xml:space="preserve">и. </w:t>
      </w:r>
      <w:r w:rsidRPr="00CA6A49">
        <w:t>Например, накануне ч</w:t>
      </w:r>
      <w:r w:rsidR="005C61BB">
        <w:t>е</w:t>
      </w:r>
      <w:r w:rsidRPr="00CA6A49">
        <w:t>рной среды Сорос беседовал с Гельмутом Шлезингером, президентом Бундесбанка, и выяснил отсутствие у Германии намерений понижать в ближайшее время уч</w:t>
      </w:r>
      <w:r w:rsidR="005C61BB">
        <w:t>е</w:t>
      </w:r>
      <w:r w:rsidRPr="00CA6A49">
        <w:t>тную ставку, что позволило ему действовать более уверенно.</w:t>
      </w:r>
    </w:p>
    <w:p w14:paraId="4BC910BA" w14:textId="400F2A75" w:rsidR="003B29AC" w:rsidRDefault="00CA6A49" w:rsidP="000C44A6">
      <w:r>
        <w:rPr>
          <w:noProof/>
          <w:lang w:eastAsia="ru-RU"/>
        </w:rPr>
        <w:drawing>
          <wp:inline distT="0" distB="0" distL="0" distR="0" wp14:anchorId="20DCB25B" wp14:editId="0913349F">
            <wp:extent cx="4762500" cy="3105150"/>
            <wp:effectExtent l="0" t="0" r="0" b="0"/>
            <wp:docPr id="1" name="Рисунок 1" descr="Изображение выглядит как внутренний, комната, стол, кухн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ара GBP_DEM в 1992 год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8182" w14:textId="5F31B615" w:rsidR="007B116A" w:rsidRPr="00E11DB6" w:rsidRDefault="007B116A" w:rsidP="000C44A6">
      <w:pPr>
        <w:pStyle w:val="af3"/>
      </w:pPr>
      <w:r>
        <w:t>Рис. 1. П</w:t>
      </w:r>
      <w:r w:rsidR="001C3EE8">
        <w:t xml:space="preserve">ара </w:t>
      </w:r>
      <w:r w:rsidR="001C3EE8" w:rsidRPr="001C3EE8">
        <w:t>GBP/DEM в 1992 году</w:t>
      </w:r>
      <w:r w:rsidR="001C3EE8">
        <w:t>; к</w:t>
      </w:r>
      <w:r w:rsidR="001C3EE8" w:rsidRPr="001C3EE8">
        <w:t>расным отмечено 16 сентября</w:t>
      </w:r>
    </w:p>
    <w:p w14:paraId="538F1684" w14:textId="10D05159" w:rsidR="004C583E" w:rsidRPr="003D2918" w:rsidRDefault="00142BA0" w:rsidP="006143FB">
      <w:pPr>
        <w:pStyle w:val="af3"/>
        <w:rPr>
          <w:rFonts w:asciiTheme="minorHAnsi" w:hAnsiTheme="minorHAnsi"/>
        </w:rPr>
      </w:pPr>
      <w:hyperlink r:id="rId11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4C583E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2" w:history="1">
        <w:r w:rsidR="004C583E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4C583E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4C583E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0407BF8E" w14:textId="1CF00FD7" w:rsidR="000C44A6" w:rsidRPr="007E01B7" w:rsidRDefault="006A5279" w:rsidP="00C84DBA">
      <w:pPr>
        <w:pStyle w:val="3"/>
        <w:rPr>
          <w:i/>
        </w:rPr>
      </w:pPr>
      <w:r>
        <w:t>Кто-то теряет, а кто-то находит…</w:t>
      </w:r>
    </w:p>
    <w:p w14:paraId="0FF22194" w14:textId="05972265" w:rsidR="006143FB" w:rsidRDefault="006A5279" w:rsidP="00C84DBA">
      <w:r>
        <w:t xml:space="preserve">Можно ли закономерно зарабатывать на финансовых рынках? Я думаю, что краткий ответ: «Да, но…». «Но» заключается в том, что </w:t>
      </w:r>
      <w:r w:rsidR="00C84DBA">
        <w:t>единственный способ заработать –</w:t>
      </w:r>
      <w:r>
        <w:t xml:space="preserve"> играт</w:t>
      </w:r>
      <w:r w:rsidR="00C84DBA">
        <w:t>ь</w:t>
      </w:r>
      <w:r>
        <w:t xml:space="preserve"> л</w:t>
      </w:r>
      <w:r w:rsidR="00C84DBA">
        <w:t>у</w:t>
      </w:r>
      <w:r>
        <w:t xml:space="preserve">чше, чем </w:t>
      </w:r>
      <w:r w:rsidR="00C84DBA">
        <w:t>другие. Только задумайтесь: если вы покупаете, кто-то ведь продает!</w:t>
      </w:r>
      <w:r w:rsidR="005F3001">
        <w:t xml:space="preserve"> Значит из этой сделк</w:t>
      </w:r>
      <w:r w:rsidR="00C1582D">
        <w:t>и</w:t>
      </w:r>
      <w:r w:rsidR="005F3001">
        <w:t xml:space="preserve"> обе </w:t>
      </w:r>
      <w:r w:rsidR="00C1582D">
        <w:t>стороны надеются извлечь выгоду.</w:t>
      </w:r>
    </w:p>
    <w:p w14:paraId="7901B11E" w14:textId="5A3E3381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>
        <w:t xml:space="preserve">По словам </w:t>
      </w:r>
      <w:r w:rsidRPr="00C1582D">
        <w:t xml:space="preserve">Александр Силаев </w:t>
      </w:r>
      <w:r>
        <w:t>–</w:t>
      </w:r>
      <w:r w:rsidRPr="00C1582D">
        <w:t xml:space="preserve"> преподавател</w:t>
      </w:r>
      <w:r>
        <w:t>я</w:t>
      </w:r>
      <w:r w:rsidRPr="00C1582D">
        <w:t xml:space="preserve"> и журналист</w:t>
      </w:r>
      <w:r>
        <w:t>а</w:t>
      </w:r>
      <w:r w:rsidRPr="00C1582D">
        <w:t>, последние годы живущ</w:t>
      </w:r>
      <w:r>
        <w:t>его</w:t>
      </w:r>
      <w:r w:rsidRPr="00C1582D">
        <w:t xml:space="preserve"> с инвестиций и спекуляций</w:t>
      </w:r>
      <w:r>
        <w:t xml:space="preserve"> – у</w:t>
      </w:r>
      <w:r w:rsidRPr="003C78A5">
        <w:rPr>
          <w:rFonts w:eastAsia="Times New Roman" w:cstheme="minorHAnsi"/>
          <w:color w:val="000000"/>
          <w:lang w:eastAsia="ru-RU"/>
        </w:rPr>
        <w:t>ровень случайности на бирже выше, чем в большинстве карточных игр, хотя это и неохотно признается.</w:t>
      </w:r>
    </w:p>
    <w:p w14:paraId="64847A5C" w14:textId="7C10CAE8" w:rsidR="005B0A03" w:rsidRDefault="00C1582D" w:rsidP="00C1582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Большой ажиотаж вокруг частных инвестиций, похоже, связан с </w:t>
      </w:r>
      <w:hyperlink r:id="rId13" w:history="1">
        <w:r w:rsidRPr="00C1582D">
          <w:rPr>
            <w:rStyle w:val="a9"/>
            <w:rFonts w:eastAsia="Times New Roman" w:cstheme="minorHAnsi"/>
            <w:lang w:eastAsia="ru-RU"/>
          </w:rPr>
          <w:t>ошибкой выжившего</w:t>
        </w:r>
      </w:hyperlink>
      <w:r w:rsidR="005B0A03">
        <w:rPr>
          <w:rFonts w:eastAsia="Times New Roman" w:cstheme="minorHAnsi"/>
          <w:color w:val="000000"/>
          <w:lang w:eastAsia="ru-RU"/>
        </w:rPr>
        <w:t xml:space="preserve"> – </w:t>
      </w:r>
      <w:r w:rsidRPr="00C1582D">
        <w:rPr>
          <w:rFonts w:eastAsia="Times New Roman" w:cstheme="minorHAnsi"/>
          <w:color w:val="000000"/>
          <w:lang w:eastAsia="ru-RU"/>
        </w:rPr>
        <w:t>разновидность</w:t>
      </w:r>
      <w:r w:rsidR="005B0A03">
        <w:rPr>
          <w:rFonts w:eastAsia="Times New Roman" w:cstheme="minorHAnsi"/>
          <w:color w:val="000000"/>
          <w:lang w:eastAsia="ru-RU"/>
        </w:rPr>
        <w:t>ю</w:t>
      </w:r>
      <w:r w:rsidRPr="00C1582D">
        <w:rPr>
          <w:rFonts w:eastAsia="Times New Roman" w:cstheme="minorHAnsi"/>
          <w:color w:val="000000"/>
          <w:lang w:eastAsia="ru-RU"/>
        </w:rPr>
        <w:t xml:space="preserve"> ошибки отбора, когда по одной группе объектов («выжившим») данных много, а по другой («погибшим») — практически нет. В результате </w:t>
      </w:r>
      <w:r w:rsidR="005B0A03">
        <w:rPr>
          <w:rFonts w:eastAsia="Times New Roman" w:cstheme="minorHAnsi"/>
          <w:color w:val="000000"/>
          <w:lang w:eastAsia="ru-RU"/>
        </w:rPr>
        <w:t xml:space="preserve">анализируются </w:t>
      </w:r>
      <w:r w:rsidRPr="00C1582D">
        <w:rPr>
          <w:rFonts w:eastAsia="Times New Roman" w:cstheme="minorHAnsi"/>
          <w:color w:val="000000"/>
          <w:lang w:eastAsia="ru-RU"/>
        </w:rPr>
        <w:t>общие черты среди «выживших» и упуска</w:t>
      </w:r>
      <w:r w:rsidR="005B0A03">
        <w:rPr>
          <w:rFonts w:eastAsia="Times New Roman" w:cstheme="minorHAnsi"/>
          <w:color w:val="000000"/>
          <w:lang w:eastAsia="ru-RU"/>
        </w:rPr>
        <w:t>е</w:t>
      </w:r>
      <w:r w:rsidRPr="00C1582D">
        <w:rPr>
          <w:rFonts w:eastAsia="Times New Roman" w:cstheme="minorHAnsi"/>
          <w:color w:val="000000"/>
          <w:lang w:eastAsia="ru-RU"/>
        </w:rPr>
        <w:t>т</w:t>
      </w:r>
      <w:r w:rsidR="005B0A03">
        <w:rPr>
          <w:rFonts w:eastAsia="Times New Roman" w:cstheme="minorHAnsi"/>
          <w:color w:val="000000"/>
          <w:lang w:eastAsia="ru-RU"/>
        </w:rPr>
        <w:t>ся</w:t>
      </w:r>
      <w:r w:rsidRPr="00C1582D">
        <w:rPr>
          <w:rFonts w:eastAsia="Times New Roman" w:cstheme="minorHAnsi"/>
          <w:color w:val="000000"/>
          <w:lang w:eastAsia="ru-RU"/>
        </w:rPr>
        <w:t xml:space="preserve"> из вида, что не менее важная информация скрывается среди «погибших». </w:t>
      </w:r>
      <w:r w:rsidR="005B0A03">
        <w:rPr>
          <w:rFonts w:eastAsia="Times New Roman" w:cstheme="minorHAnsi"/>
          <w:color w:val="000000"/>
          <w:lang w:eastAsia="ru-RU"/>
        </w:rPr>
        <w:t xml:space="preserve">Мало кому интересе рассказ, </w:t>
      </w:r>
      <w:hyperlink r:id="rId14" w:history="1">
        <w:r w:rsidR="005B0A03" w:rsidRPr="005B0A03">
          <w:rPr>
            <w:rStyle w:val="a9"/>
            <w:rFonts w:eastAsia="Times New Roman" w:cstheme="minorHAnsi"/>
            <w:lang w:eastAsia="ru-RU"/>
          </w:rPr>
          <w:t>чему я научился, потеряв миллион долларов</w:t>
        </w:r>
      </w:hyperlink>
      <w:r w:rsidR="005B0A03">
        <w:rPr>
          <w:rFonts w:eastAsia="Times New Roman" w:cstheme="minorHAnsi"/>
          <w:color w:val="000000"/>
          <w:lang w:eastAsia="ru-RU"/>
        </w:rPr>
        <w:t>. Большей популярностью пользуются истории успеха: они на слуху, и созда</w:t>
      </w:r>
      <w:r w:rsidR="00C86A16">
        <w:rPr>
          <w:rFonts w:eastAsia="Times New Roman" w:cstheme="minorHAnsi"/>
          <w:color w:val="000000"/>
          <w:lang w:eastAsia="ru-RU"/>
        </w:rPr>
        <w:t>е</w:t>
      </w:r>
      <w:r w:rsidR="005B0A03">
        <w:rPr>
          <w:rFonts w:eastAsia="Times New Roman" w:cstheme="minorHAnsi"/>
          <w:color w:val="000000"/>
          <w:lang w:eastAsia="ru-RU"/>
        </w:rPr>
        <w:t>тся впечатление, что игра на финансовых рынках почти беспроигрышная…</w:t>
      </w:r>
    </w:p>
    <w:p w14:paraId="0576EA69" w14:textId="4BD7C375" w:rsidR="00C1582D" w:rsidRPr="00A55288" w:rsidRDefault="005B0A03" w:rsidP="00C86A16">
      <w:pPr>
        <w:spacing w:after="0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Силаев формулирует следующие претензии к подобному </w:t>
      </w:r>
      <w:r w:rsidR="00C1582D" w:rsidRPr="003C78A5">
        <w:rPr>
          <w:rFonts w:eastAsia="Times New Roman" w:cstheme="minorHAnsi"/>
          <w:color w:val="000000"/>
          <w:lang w:eastAsia="ru-RU"/>
        </w:rPr>
        <w:t>оптимизму</w:t>
      </w:r>
      <w:r w:rsidR="00C86A16">
        <w:rPr>
          <w:rFonts w:eastAsia="Times New Roman" w:cstheme="minorHAnsi"/>
          <w:color w:val="000000"/>
          <w:lang w:eastAsia="ru-RU"/>
        </w:rPr>
        <w:t>: н</w:t>
      </w:r>
      <w:r>
        <w:rPr>
          <w:rFonts w:eastAsia="Times New Roman" w:cstheme="minorHAnsi"/>
          <w:color w:val="000000"/>
          <w:lang w:eastAsia="ru-RU"/>
        </w:rPr>
        <w:t>екорректность выборки</w:t>
      </w:r>
      <w:r w:rsidR="00C1582D" w:rsidRPr="00A55288">
        <w:rPr>
          <w:rFonts w:eastAsia="Times New Roman" w:cstheme="minorHAnsi"/>
          <w:color w:val="000000"/>
          <w:lang w:eastAsia="ru-RU"/>
        </w:rPr>
        <w:t xml:space="preserve"> </w:t>
      </w:r>
      <w:r w:rsidR="00C86A16">
        <w:rPr>
          <w:rFonts w:eastAsia="Times New Roman" w:cstheme="minorHAnsi"/>
          <w:color w:val="000000"/>
          <w:lang w:eastAsia="ru-RU"/>
        </w:rPr>
        <w:t>(р</w:t>
      </w:r>
      <w:r w:rsidR="00C1582D" w:rsidRPr="00A55288">
        <w:rPr>
          <w:rFonts w:eastAsia="Times New Roman" w:cstheme="minorHAnsi"/>
          <w:color w:val="000000"/>
          <w:lang w:eastAsia="ru-RU"/>
        </w:rPr>
        <w:t>ост</w:t>
      </w:r>
      <w:r w:rsidR="00D34F15">
        <w:rPr>
          <w:rFonts w:eastAsia="Times New Roman" w:cstheme="minorHAnsi"/>
          <w:color w:val="000000"/>
          <w:lang w:eastAsia="ru-RU"/>
        </w:rPr>
        <w:t xml:space="preserve"> в ХХ в.</w:t>
      </w:r>
      <w:r w:rsidR="00C1582D" w:rsidRPr="00A55288">
        <w:rPr>
          <w:rFonts w:eastAsia="Times New Roman" w:cstheme="minorHAnsi"/>
          <w:color w:val="000000"/>
          <w:lang w:eastAsia="ru-RU"/>
        </w:rPr>
        <w:t xml:space="preserve"> </w:t>
      </w:r>
      <w:r w:rsidR="00D34F15">
        <w:rPr>
          <w:rFonts w:eastAsia="Times New Roman" w:cstheme="minorHAnsi"/>
          <w:color w:val="000000"/>
          <w:lang w:eastAsia="ru-RU"/>
        </w:rPr>
        <w:t xml:space="preserve">является скорее нетипичным и связан с </w:t>
      </w:r>
      <w:r w:rsidR="00C1582D" w:rsidRPr="00A55288">
        <w:rPr>
          <w:rFonts w:eastAsia="Times New Roman" w:cstheme="minorHAnsi"/>
          <w:color w:val="000000"/>
          <w:lang w:eastAsia="ru-RU"/>
        </w:rPr>
        <w:t>наложени</w:t>
      </w:r>
      <w:r w:rsidR="00D34F15">
        <w:rPr>
          <w:rFonts w:eastAsia="Times New Roman" w:cstheme="minorHAnsi"/>
          <w:color w:val="000000"/>
          <w:lang w:eastAsia="ru-RU"/>
        </w:rPr>
        <w:t>ем</w:t>
      </w:r>
      <w:r w:rsidR="00C1582D" w:rsidRPr="00A55288">
        <w:rPr>
          <w:rFonts w:eastAsia="Times New Roman" w:cstheme="minorHAnsi"/>
          <w:color w:val="000000"/>
          <w:lang w:eastAsia="ru-RU"/>
        </w:rPr>
        <w:t xml:space="preserve"> демографических и технологических факторов</w:t>
      </w:r>
      <w:r w:rsidR="00C86A16">
        <w:rPr>
          <w:rFonts w:eastAsia="Times New Roman" w:cstheme="minorHAnsi"/>
          <w:color w:val="000000"/>
          <w:lang w:eastAsia="ru-RU"/>
        </w:rPr>
        <w:t>;</w:t>
      </w:r>
      <w:r w:rsidR="00D34F15">
        <w:rPr>
          <w:rFonts w:eastAsia="Times New Roman" w:cstheme="minorHAnsi"/>
          <w:color w:val="000000"/>
          <w:lang w:eastAsia="ru-RU"/>
        </w:rPr>
        <w:t xml:space="preserve"> ХХ</w:t>
      </w:r>
      <w:r w:rsidR="00D34F15">
        <w:rPr>
          <w:rFonts w:eastAsia="Times New Roman" w:cstheme="minorHAnsi"/>
          <w:color w:val="000000"/>
          <w:lang w:val="en-US" w:eastAsia="ru-RU"/>
        </w:rPr>
        <w:t>I</w:t>
      </w:r>
      <w:r w:rsidR="00D34F15">
        <w:rPr>
          <w:rFonts w:eastAsia="Times New Roman" w:cstheme="minorHAnsi"/>
          <w:color w:val="000000"/>
          <w:lang w:eastAsia="ru-RU"/>
        </w:rPr>
        <w:t xml:space="preserve"> в. </w:t>
      </w:r>
      <w:r w:rsidR="00C86A16">
        <w:rPr>
          <w:rFonts w:eastAsia="Times New Roman" w:cstheme="minorHAnsi"/>
          <w:color w:val="000000"/>
          <w:lang w:eastAsia="ru-RU"/>
        </w:rPr>
        <w:t xml:space="preserve">вряд ли будет столь же успешным), игнорирование налогов, транзакционных издержек и </w:t>
      </w:r>
      <w:r w:rsidR="00C1582D" w:rsidRPr="00A55288">
        <w:rPr>
          <w:rFonts w:eastAsia="Times New Roman" w:cstheme="minorHAnsi"/>
          <w:color w:val="000000"/>
          <w:lang w:eastAsia="ru-RU"/>
        </w:rPr>
        <w:t>черных лебедей.</w:t>
      </w:r>
    </w:p>
    <w:p w14:paraId="3E0B5FA3" w14:textId="77777777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Распределение доходности приблизительно соответствует графику:</w:t>
      </w:r>
    </w:p>
    <w:p w14:paraId="5560D179" w14:textId="77777777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501D9685" wp14:editId="1A2447A8">
            <wp:extent cx="4438650" cy="2247900"/>
            <wp:effectExtent l="0" t="0" r="0" b="0"/>
            <wp:docPr id="2" name="Рисунок 2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Распределение доходн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DFF3" w14:textId="6462C45A" w:rsidR="00C1582D" w:rsidRDefault="00D34F15" w:rsidP="00C1582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2</w:t>
      </w:r>
      <w:r w:rsidR="00C1582D">
        <w:rPr>
          <w:rFonts w:eastAsia="Times New Roman" w:cstheme="minorHAnsi"/>
          <w:color w:val="000000"/>
          <w:lang w:eastAsia="ru-RU"/>
        </w:rPr>
        <w:t>. Распределение доходности</w:t>
      </w:r>
    </w:p>
    <w:p w14:paraId="16F921F3" w14:textId="591D48BF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Горизонтальная ось — годовая доходность (реальная с учетом инфляции), вертикальная — вероятность ее получить.</w:t>
      </w:r>
      <w:r w:rsidR="00D34F15"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Если у игрока нет явных преимуществ в игре, он с большей вероятностью будет инвестировать с отрицательной доходностью, чем с положительной.</w:t>
      </w:r>
    </w:p>
    <w:p w14:paraId="6E982FBB" w14:textId="77777777" w:rsidR="00C1582D" w:rsidRPr="003C78A5" w:rsidRDefault="00C1582D" w:rsidP="00C1582D">
      <w:pPr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Само существование столь ликвидных финансовых рынков обусловлено в первую очередь когнитивной иллюзией: средние и худшие игроки кажутся себе лучше среднего. Это главный двигатель механизма, скорее всего, вечный.</w:t>
      </w:r>
    </w:p>
    <w:p w14:paraId="5F6C0B93" w14:textId="77777777" w:rsidR="00C1582D" w:rsidRPr="00F56AF1" w:rsidRDefault="00C1582D" w:rsidP="00C1582D">
      <w:pPr>
        <w:ind w:firstLine="708"/>
        <w:rPr>
          <w:rFonts w:eastAsia="Times New Roman" w:cstheme="minorHAnsi"/>
          <w:i/>
          <w:color w:val="000000"/>
          <w:lang w:eastAsia="ru-RU"/>
        </w:rPr>
      </w:pPr>
      <w:r w:rsidRPr="00F56AF1">
        <w:rPr>
          <w:rFonts w:eastAsia="Times New Roman" w:cstheme="minorHAnsi"/>
          <w:i/>
          <w:color w:val="000000"/>
          <w:lang w:eastAsia="ru-RU"/>
        </w:rPr>
        <w:t>Средний водитель уверен, что он водит машину лучше среднего водителя.</w:t>
      </w:r>
    </w:p>
    <w:p w14:paraId="089D01E4" w14:textId="0C85B558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Главное, что происходит на финансовых рынках: перераспределение капитала от худшего знания к лучшему.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Базовая формула дохода инвестора на фин</w:t>
      </w:r>
      <w:r w:rsidR="00D34F15">
        <w:rPr>
          <w:rFonts w:eastAsia="Times New Roman" w:cstheme="minorHAnsi"/>
          <w:color w:val="000000"/>
          <w:lang w:eastAsia="ru-RU"/>
        </w:rPr>
        <w:t xml:space="preserve">ансовых </w:t>
      </w:r>
      <w:r w:rsidRPr="003C78A5">
        <w:rPr>
          <w:rFonts w:eastAsia="Times New Roman" w:cstheme="minorHAnsi"/>
          <w:color w:val="000000"/>
          <w:lang w:eastAsia="ru-RU"/>
        </w:rPr>
        <w:t xml:space="preserve">рынках: пассивная безрисковая ставка + премия за риск + премия за </w:t>
      </w:r>
      <w:r w:rsidR="00D34F15">
        <w:rPr>
          <w:rFonts w:eastAsia="Times New Roman" w:cstheme="minorHAnsi"/>
          <w:color w:val="000000"/>
          <w:lang w:eastAsia="ru-RU"/>
        </w:rPr>
        <w:t>навыки</w:t>
      </w:r>
      <w:r w:rsidRPr="003C78A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–</w:t>
      </w:r>
      <w:r w:rsidRPr="003C78A5">
        <w:rPr>
          <w:rFonts w:eastAsia="Times New Roman" w:cstheme="minorHAnsi"/>
          <w:color w:val="000000"/>
          <w:lang w:eastAsia="ru-RU"/>
        </w:rPr>
        <w:t xml:space="preserve"> инфляция </w:t>
      </w:r>
      <w:r>
        <w:rPr>
          <w:rFonts w:eastAsia="Times New Roman" w:cstheme="minorHAnsi"/>
          <w:color w:val="000000"/>
          <w:lang w:eastAsia="ru-RU"/>
        </w:rPr>
        <w:t>–</w:t>
      </w:r>
      <w:r w:rsidRPr="003C78A5">
        <w:rPr>
          <w:rFonts w:eastAsia="Times New Roman" w:cstheme="minorHAnsi"/>
          <w:color w:val="000000"/>
          <w:lang w:eastAsia="ru-RU"/>
        </w:rPr>
        <w:t xml:space="preserve"> реализованные риски ± случайность</w:t>
      </w:r>
      <w:r w:rsidR="00D34F15">
        <w:rPr>
          <w:rFonts w:eastAsia="Times New Roman" w:cstheme="minorHAnsi"/>
          <w:color w:val="000000"/>
          <w:lang w:eastAsia="ru-RU"/>
        </w:rPr>
        <w:t>.</w:t>
      </w:r>
    </w:p>
    <w:p w14:paraId="5A7243E3" w14:textId="2F7248B4" w:rsidR="00C1582D" w:rsidRDefault="00C1582D" w:rsidP="00C1582D">
      <w:pPr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t>Большинство желающих заработать трейдингом потеряет, а меньшинство получит меньше, чем ожидало.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То, что люди принимают за сильный трейдинг, обычно всего лишь удача.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3C78A5">
        <w:rPr>
          <w:rFonts w:eastAsia="Times New Roman" w:cstheme="minorHAnsi"/>
          <w:color w:val="000000"/>
          <w:lang w:eastAsia="ru-RU"/>
        </w:rPr>
        <w:t>Для нее даже не надо биржи, достаточно казино. Три раза подряд поставьте все свои деньги на красное. С вероятностью 12,5% у вас будет 700% прибыли. Не такая уж малая вероятность. Почти все истории биржевых успехов — это истории того, как игрок использовал биржу в качестве обычной рулетки.</w:t>
      </w:r>
    </w:p>
    <w:p w14:paraId="0632D385" w14:textId="7AB17957" w:rsidR="00C1582D" w:rsidRDefault="002321D2" w:rsidP="002321D2">
      <w:pPr>
        <w:pStyle w:val="3"/>
      </w:pPr>
      <w:r>
        <w:t>Рынок, как сложная адаптивная система</w:t>
      </w:r>
    </w:p>
    <w:p w14:paraId="75E68C7C" w14:textId="6540CD08" w:rsidR="00013E22" w:rsidRDefault="00013E22" w:rsidP="00013E22">
      <w:pPr>
        <w:rPr>
          <w:rFonts w:eastAsia="Times New Roman" w:cstheme="minorHAnsi"/>
          <w:color w:val="000000"/>
          <w:lang w:eastAsia="ru-RU"/>
        </w:rPr>
      </w:pPr>
      <w:r w:rsidRPr="00013E22">
        <w:t xml:space="preserve">Майкл Мобуссин, глава Global Financial Strategies </w:t>
      </w:r>
      <w:r>
        <w:t>в</w:t>
      </w:r>
      <w:r w:rsidRPr="00013E22">
        <w:t xml:space="preserve"> Credit Suisse и профессор школы бизнеса Колумбийского университета, признанный специалист в сфере поведенческих финансов, </w:t>
      </w:r>
      <w:r w:rsidR="00C86A16">
        <w:t>рассматривает</w:t>
      </w:r>
      <w:r w:rsidRPr="00013E22">
        <w:t xml:space="preserve"> фондов</w:t>
      </w:r>
      <w:r w:rsidR="00C86A16">
        <w:t>ый</w:t>
      </w:r>
      <w:r w:rsidRPr="00013E22">
        <w:t xml:space="preserve"> рын</w:t>
      </w:r>
      <w:r w:rsidR="00C86A16">
        <w:t>о</w:t>
      </w:r>
      <w:r w:rsidRPr="00013E22">
        <w:t xml:space="preserve">к как </w:t>
      </w:r>
      <w:r w:rsidR="00C86A16">
        <w:t>сложную</w:t>
      </w:r>
      <w:r w:rsidRPr="00013E22">
        <w:t xml:space="preserve"> адаптивн</w:t>
      </w:r>
      <w:r w:rsidR="00C86A16">
        <w:t>ую</w:t>
      </w:r>
      <w:r w:rsidRPr="00013E22">
        <w:t xml:space="preserve"> систем</w:t>
      </w:r>
      <w:r w:rsidR="00C86A16">
        <w:t>у</w:t>
      </w:r>
      <w:r w:rsidRPr="00013E22">
        <w:t>.</w:t>
      </w:r>
      <w:r>
        <w:t xml:space="preserve"> </w:t>
      </w:r>
      <w:r w:rsidRPr="00013E22">
        <w:t xml:space="preserve">Принятие этой ментальной модели заставило </w:t>
      </w:r>
      <w:r>
        <w:t>его</w:t>
      </w:r>
      <w:r w:rsidRPr="00013E22">
        <w:t xml:space="preserve"> пересмотреть и поставить п</w:t>
      </w:r>
      <w:r>
        <w:t>од вопрос практически все, что он</w:t>
      </w:r>
      <w:r w:rsidRPr="00013E22">
        <w:t xml:space="preserve"> знал в сфере финансовой науки: рациональность агентов, колоколообразное распределение изменений цен, </w:t>
      </w:r>
      <w:r>
        <w:t>понятия риска и вознаграждения.</w:t>
      </w:r>
    </w:p>
    <w:p w14:paraId="22336D96" w14:textId="77777777" w:rsidR="00013E22" w:rsidRDefault="00013E22" w:rsidP="00013E22">
      <w:pPr>
        <w:spacing w:after="0"/>
        <w:rPr>
          <w:rFonts w:eastAsia="Times New Roman" w:cstheme="minorHAnsi"/>
          <w:color w:val="000000"/>
          <w:lang w:eastAsia="ru-RU"/>
        </w:rPr>
      </w:pPr>
      <w:r w:rsidRPr="00B14397">
        <w:rPr>
          <w:rFonts w:eastAsia="Times New Roman" w:cstheme="minorHAnsi"/>
          <w:color w:val="000000"/>
          <w:lang w:eastAsia="ru-RU"/>
        </w:rPr>
        <w:t>Все качественные подходы к инвестировани</w:t>
      </w:r>
      <w:r>
        <w:rPr>
          <w:rFonts w:eastAsia="Times New Roman" w:cstheme="minorHAnsi"/>
          <w:color w:val="000000"/>
          <w:lang w:eastAsia="ru-RU"/>
        </w:rPr>
        <w:t>ю объединяет ряд общих моментов.</w:t>
      </w:r>
    </w:p>
    <w:p w14:paraId="1EAD17D0" w14:textId="77777777" w:rsidR="00013E22" w:rsidRDefault="00013E22" w:rsidP="006860AD">
      <w:pPr>
        <w:pStyle w:val="aa"/>
        <w:numPr>
          <w:ilvl w:val="0"/>
          <w:numId w:val="2"/>
        </w:numPr>
        <w:rPr>
          <w:rFonts w:eastAsia="Times New Roman" w:cstheme="minorHAnsi"/>
          <w:color w:val="000000"/>
          <w:lang w:eastAsia="ru-RU"/>
        </w:rPr>
      </w:pPr>
      <w:r w:rsidRPr="00013E22">
        <w:rPr>
          <w:rFonts w:eastAsia="Times New Roman" w:cstheme="minorHAnsi"/>
          <w:color w:val="000000"/>
          <w:lang w:eastAsia="ru-RU"/>
        </w:rPr>
        <w:t>В любой вероятностной среде — будь то инвестирование, скачки или азартные игры — лучше сосредоточиться на процессе принятия решений, а н</w:t>
      </w:r>
      <w:r>
        <w:rPr>
          <w:rFonts w:eastAsia="Times New Roman" w:cstheme="minorHAnsi"/>
          <w:color w:val="000000"/>
          <w:lang w:eastAsia="ru-RU"/>
        </w:rPr>
        <w:t>е на краткосрочных результатах.</w:t>
      </w:r>
    </w:p>
    <w:p w14:paraId="4D8B54A5" w14:textId="77777777" w:rsidR="00013E22" w:rsidRDefault="00013E22" w:rsidP="006860AD">
      <w:pPr>
        <w:pStyle w:val="aa"/>
        <w:numPr>
          <w:ilvl w:val="0"/>
          <w:numId w:val="2"/>
        </w:numPr>
        <w:rPr>
          <w:rFonts w:eastAsia="Times New Roman" w:cstheme="minorHAnsi"/>
          <w:color w:val="000000"/>
          <w:lang w:eastAsia="ru-RU"/>
        </w:rPr>
      </w:pPr>
      <w:r w:rsidRPr="00013E22">
        <w:rPr>
          <w:rFonts w:eastAsia="Times New Roman" w:cstheme="minorHAnsi"/>
          <w:color w:val="000000"/>
          <w:lang w:eastAsia="ru-RU"/>
        </w:rPr>
        <w:t xml:space="preserve">Важна долгосрочная перспектива. Дело в том, что в вероятностной системе невозможно судить о результатах на краткосрочных интервалах, поскольку в </w:t>
      </w:r>
      <w:r>
        <w:rPr>
          <w:rFonts w:eastAsia="Times New Roman" w:cstheme="minorHAnsi"/>
          <w:color w:val="000000"/>
          <w:lang w:eastAsia="ru-RU"/>
        </w:rPr>
        <w:t>ней слишком много случайностей.</w:t>
      </w:r>
    </w:p>
    <w:p w14:paraId="0C0C8653" w14:textId="534B4BC5" w:rsidR="00013E22" w:rsidRPr="00013E22" w:rsidRDefault="00013E22" w:rsidP="006860AD">
      <w:pPr>
        <w:pStyle w:val="aa"/>
        <w:numPr>
          <w:ilvl w:val="0"/>
          <w:numId w:val="2"/>
        </w:numPr>
        <w:rPr>
          <w:rFonts w:eastAsia="Times New Roman" w:cstheme="minorHAnsi"/>
          <w:color w:val="000000"/>
          <w:lang w:eastAsia="ru-RU"/>
        </w:rPr>
      </w:pPr>
      <w:r w:rsidRPr="00013E22">
        <w:rPr>
          <w:rFonts w:eastAsia="Times New Roman" w:cstheme="minorHAnsi"/>
          <w:color w:val="000000"/>
          <w:lang w:eastAsia="ru-RU"/>
        </w:rPr>
        <w:t xml:space="preserve">Важность усвоения вероятностного подхода. </w:t>
      </w:r>
      <w:r>
        <w:rPr>
          <w:rFonts w:eastAsia="Times New Roman" w:cstheme="minorHAnsi"/>
          <w:color w:val="000000"/>
          <w:lang w:eastAsia="ru-RU"/>
        </w:rPr>
        <w:t>В п</w:t>
      </w:r>
      <w:r w:rsidRPr="00013E22">
        <w:rPr>
          <w:rFonts w:eastAsia="Times New Roman" w:cstheme="minorHAnsi"/>
          <w:color w:val="000000"/>
          <w:lang w:eastAsia="ru-RU"/>
        </w:rPr>
        <w:t>сихологи</w:t>
      </w:r>
      <w:r>
        <w:rPr>
          <w:rFonts w:eastAsia="Times New Roman" w:cstheme="minorHAnsi"/>
          <w:color w:val="000000"/>
          <w:lang w:eastAsia="ru-RU"/>
        </w:rPr>
        <w:t xml:space="preserve">и инвестирования </w:t>
      </w:r>
      <w:r w:rsidRPr="00013E22">
        <w:rPr>
          <w:rFonts w:eastAsia="Times New Roman" w:cstheme="minorHAnsi"/>
          <w:color w:val="000000"/>
          <w:lang w:eastAsia="ru-RU"/>
        </w:rPr>
        <w:t>возникает очень много ложных сигналов. Мы видим закономерности там, где их нет, и не в состоянии увидеть всего диапазона возможных результатов. Наша оценка вероятности зависит от того, как нам преподнесена информация. Качественная философия инвестирования помогает частично залатать эти прорехи, повышая наши шансы на долгосрочный успех.</w:t>
      </w:r>
    </w:p>
    <w:p w14:paraId="5789CF74" w14:textId="77777777" w:rsidR="00013E22" w:rsidRDefault="00013E22" w:rsidP="00013E22">
      <w:pPr>
        <w:rPr>
          <w:rFonts w:eastAsia="Times New Roman" w:cstheme="minorHAnsi"/>
          <w:color w:val="000000"/>
          <w:lang w:eastAsia="ru-RU"/>
        </w:rPr>
      </w:pPr>
      <w:bookmarkStart w:id="0" w:name="_GoBack"/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5EF30274" wp14:editId="2EE3EFBB">
            <wp:extent cx="3906087" cy="309305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Ингредиенты философии инвестирован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29" cy="310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E882E9" w14:textId="38C6A309" w:rsidR="00013E22" w:rsidRPr="00B14397" w:rsidRDefault="00013E22" w:rsidP="00013E2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3. И</w:t>
      </w:r>
      <w:r w:rsidRPr="00870CB2">
        <w:rPr>
          <w:rFonts w:eastAsia="Times New Roman" w:cstheme="minorHAnsi"/>
          <w:color w:val="000000"/>
          <w:lang w:eastAsia="ru-RU"/>
        </w:rPr>
        <w:t>нгредиенты</w:t>
      </w:r>
      <w:r>
        <w:rPr>
          <w:rFonts w:eastAsia="Times New Roman" w:cstheme="minorHAnsi"/>
          <w:color w:val="000000"/>
          <w:lang w:eastAsia="ru-RU"/>
        </w:rPr>
        <w:t xml:space="preserve"> философии инвестирования</w:t>
      </w:r>
    </w:p>
    <w:p w14:paraId="77131F81" w14:textId="0BFA6CEA" w:rsidR="00FC2A23" w:rsidRPr="00B14397" w:rsidRDefault="00D90756" w:rsidP="00FC2A23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Фрактальная природа финансовых рынков</w:t>
      </w:r>
    </w:p>
    <w:p w14:paraId="3C29988E" w14:textId="79505889" w:rsidR="00D90756" w:rsidRDefault="00D90756" w:rsidP="00C86A16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</w:t>
      </w:r>
      <w:r w:rsidR="00FC2A23" w:rsidRPr="00B14397">
        <w:rPr>
          <w:rFonts w:eastAsia="Times New Roman" w:cstheme="minorHAnsi"/>
          <w:color w:val="000000"/>
          <w:lang w:eastAsia="ru-RU"/>
        </w:rPr>
        <w:t>радиционная финансовая теория плохо справляется с объяснением и прогнозированием экстремальных событий. Ее сторонники исходят из предположения о том, что движение цены акций является случайным, подобно броуновскому движению.</w:t>
      </w:r>
      <w:r>
        <w:rPr>
          <w:rFonts w:eastAsia="Times New Roman" w:cstheme="minorHAnsi"/>
          <w:color w:val="000000"/>
          <w:lang w:eastAsia="ru-RU"/>
        </w:rPr>
        <w:t xml:space="preserve"> А доходность удовлетворяет нормальному распределению.</w:t>
      </w:r>
      <w:r w:rsidR="00C86A16">
        <w:rPr>
          <w:rFonts w:eastAsia="Times New Roman" w:cstheme="minorHAnsi"/>
          <w:color w:val="000000"/>
          <w:lang w:eastAsia="ru-RU"/>
        </w:rPr>
        <w:t xml:space="preserve"> Последнее широко используется </w:t>
      </w:r>
      <w:r w:rsidR="00FC2A23" w:rsidRPr="00B14397">
        <w:rPr>
          <w:rFonts w:eastAsia="Times New Roman" w:cstheme="minorHAnsi"/>
          <w:color w:val="000000"/>
          <w:lang w:eastAsia="ru-RU"/>
        </w:rPr>
        <w:t>в финансовой науке, включая ценообразовани</w:t>
      </w:r>
      <w:r w:rsidR="00C86A16">
        <w:rPr>
          <w:rFonts w:eastAsia="Times New Roman" w:cstheme="minorHAnsi"/>
          <w:color w:val="000000"/>
          <w:lang w:eastAsia="ru-RU"/>
        </w:rPr>
        <w:t>е</w:t>
      </w:r>
      <w:r w:rsidR="00FC2A23" w:rsidRPr="00B14397">
        <w:rPr>
          <w:rFonts w:eastAsia="Times New Roman" w:cstheme="minorHAnsi"/>
          <w:color w:val="000000"/>
          <w:lang w:eastAsia="ru-RU"/>
        </w:rPr>
        <w:t xml:space="preserve"> на финансовые активы, оце</w:t>
      </w:r>
      <w:r w:rsidR="00FC2A23">
        <w:rPr>
          <w:rFonts w:eastAsia="Times New Roman" w:cstheme="minorHAnsi"/>
          <w:color w:val="000000"/>
          <w:lang w:eastAsia="ru-RU"/>
        </w:rPr>
        <w:t>нки инвестиционных рисков (VaR-</w:t>
      </w:r>
      <w:r w:rsidR="00FC2A23" w:rsidRPr="00B14397">
        <w:rPr>
          <w:rFonts w:eastAsia="Times New Roman" w:cstheme="minorHAnsi"/>
          <w:color w:val="000000"/>
          <w:lang w:eastAsia="ru-RU"/>
        </w:rPr>
        <w:t xml:space="preserve">модели) и модель </w:t>
      </w:r>
      <w:hyperlink r:id="rId17" w:history="1">
        <w:r w:rsidR="00FC2A23" w:rsidRPr="00522185">
          <w:rPr>
            <w:rStyle w:val="a9"/>
            <w:rFonts w:eastAsia="Times New Roman" w:cstheme="minorHAnsi"/>
            <w:lang w:eastAsia="ru-RU"/>
          </w:rPr>
          <w:t>Блэка-Шоулза</w:t>
        </w:r>
      </w:hyperlink>
      <w:r w:rsidR="00FC2A23">
        <w:rPr>
          <w:rFonts w:eastAsia="Times New Roman" w:cstheme="minorHAnsi"/>
          <w:color w:val="000000"/>
          <w:lang w:eastAsia="ru-RU"/>
        </w:rPr>
        <w:t>. Однако, исследования</w:t>
      </w:r>
      <w:r w:rsidR="00FC2A23" w:rsidRPr="00B14397">
        <w:rPr>
          <w:rFonts w:eastAsia="Times New Roman" w:cstheme="minorHAnsi"/>
          <w:color w:val="000000"/>
          <w:lang w:eastAsia="ru-RU"/>
        </w:rPr>
        <w:t xml:space="preserve"> показывают, что изменения цен </w:t>
      </w:r>
      <w:r w:rsidR="00FC2A23">
        <w:rPr>
          <w:rFonts w:eastAsia="Times New Roman" w:cstheme="minorHAnsi"/>
          <w:color w:val="000000"/>
          <w:lang w:eastAsia="ru-RU"/>
        </w:rPr>
        <w:t>акций не соответствуют нор</w:t>
      </w:r>
      <w:r w:rsidR="00FC2A23" w:rsidRPr="00B14397">
        <w:rPr>
          <w:rFonts w:eastAsia="Times New Roman" w:cstheme="minorHAnsi"/>
          <w:color w:val="000000"/>
          <w:lang w:eastAsia="ru-RU"/>
        </w:rPr>
        <w:t>мальному распределению</w:t>
      </w:r>
      <w:r>
        <w:rPr>
          <w:rFonts w:eastAsia="Times New Roman" w:cstheme="minorHAnsi"/>
          <w:color w:val="000000"/>
          <w:lang w:eastAsia="ru-RU"/>
        </w:rPr>
        <w:t>. З</w:t>
      </w:r>
      <w:r w:rsidRPr="00522185">
        <w:rPr>
          <w:rFonts w:eastAsia="Times New Roman" w:cstheme="minorHAnsi"/>
          <w:color w:val="000000"/>
          <w:lang w:eastAsia="ru-RU"/>
        </w:rPr>
        <w:t xml:space="preserve">начительные изменения </w:t>
      </w:r>
      <w:r>
        <w:rPr>
          <w:rFonts w:eastAsia="Times New Roman" w:cstheme="minorHAnsi"/>
          <w:color w:val="000000"/>
          <w:lang w:eastAsia="ru-RU"/>
        </w:rPr>
        <w:t>(за пределами 6 сигм) происходят чаще, чем ожидается:</w:t>
      </w:r>
    </w:p>
    <w:p w14:paraId="148EF1CC" w14:textId="77777777" w:rsidR="00FC2A23" w:rsidRDefault="00FC2A23" w:rsidP="00FC2A2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6D88495D" wp14:editId="20736B19">
            <wp:extent cx="3943350" cy="2305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5. Разница частот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EEDA2" w14:textId="1F2FB72A" w:rsidR="00FC2A23" w:rsidRPr="00B14397" w:rsidRDefault="00D90756" w:rsidP="00FC2A23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4</w:t>
      </w:r>
      <w:r w:rsidR="00FC2A23">
        <w:rPr>
          <w:rFonts w:eastAsia="Times New Roman" w:cstheme="minorHAnsi"/>
          <w:color w:val="000000"/>
          <w:lang w:eastAsia="ru-RU"/>
        </w:rPr>
        <w:t xml:space="preserve">. </w:t>
      </w:r>
      <w:r w:rsidR="00FC2A23" w:rsidRPr="00B14397">
        <w:rPr>
          <w:rFonts w:eastAsia="Times New Roman" w:cstheme="minorHAnsi"/>
          <w:color w:val="000000"/>
          <w:lang w:eastAsia="ru-RU"/>
        </w:rPr>
        <w:t>Разница частот: нормальное распределение и фактическая дневная доходность, январь 1978 — март 2007 г.</w:t>
      </w:r>
    </w:p>
    <w:p w14:paraId="214BA1BB" w14:textId="798294F8" w:rsidR="00FC2A23" w:rsidRPr="00B14397" w:rsidRDefault="00FC2A23" w:rsidP="00FC2A23">
      <w:pPr>
        <w:rPr>
          <w:rFonts w:eastAsia="Times New Roman" w:cstheme="minorHAnsi"/>
          <w:color w:val="000000"/>
          <w:lang w:eastAsia="ru-RU"/>
        </w:rPr>
      </w:pPr>
      <w:r w:rsidRPr="00B14397">
        <w:rPr>
          <w:rFonts w:eastAsia="Times New Roman" w:cstheme="minorHAnsi"/>
          <w:color w:val="000000"/>
          <w:lang w:eastAsia="ru-RU"/>
        </w:rPr>
        <w:t xml:space="preserve">Модель «много малых и немного крупных событий» характерна не только для цены активов. На самом деле это признак сложных </w:t>
      </w:r>
      <w:r>
        <w:rPr>
          <w:rFonts w:eastAsia="Times New Roman" w:cstheme="minorHAnsi"/>
          <w:color w:val="000000"/>
          <w:lang w:eastAsia="ru-RU"/>
        </w:rPr>
        <w:t>самоорганизующих</w:t>
      </w:r>
      <w:r w:rsidRPr="00B14397">
        <w:rPr>
          <w:rFonts w:eastAsia="Times New Roman" w:cstheme="minorHAnsi"/>
          <w:color w:val="000000"/>
          <w:lang w:eastAsia="ru-RU"/>
        </w:rPr>
        <w:t>ся систем</w:t>
      </w:r>
      <w:r>
        <w:rPr>
          <w:rFonts w:eastAsia="Times New Roman" w:cstheme="minorHAnsi"/>
          <w:color w:val="000000"/>
          <w:lang w:eastAsia="ru-RU"/>
        </w:rPr>
        <w:t>.</w:t>
      </w:r>
      <w:r w:rsidRPr="00B14397">
        <w:rPr>
          <w:rFonts w:eastAsia="Times New Roman" w:cstheme="minorHAnsi"/>
          <w:color w:val="000000"/>
          <w:lang w:eastAsia="ru-RU"/>
        </w:rPr>
        <w:t xml:space="preserve"> Самоорганизация является результатом взаимодействия между индивидуальными агентами (инвесторами) и не требует централизованного управления. Самоорганиз</w:t>
      </w:r>
      <w:r>
        <w:rPr>
          <w:rFonts w:eastAsia="Times New Roman" w:cstheme="minorHAnsi"/>
          <w:color w:val="000000"/>
          <w:lang w:eastAsia="ru-RU"/>
        </w:rPr>
        <w:t>ация</w:t>
      </w:r>
      <w:r w:rsidRPr="00B14397">
        <w:rPr>
          <w:rFonts w:eastAsia="Times New Roman" w:cstheme="minorHAnsi"/>
          <w:color w:val="000000"/>
          <w:lang w:eastAsia="ru-RU"/>
        </w:rPr>
        <w:t xml:space="preserve"> характерна для самых разных систем — от землетрясений и вымиран</w:t>
      </w:r>
      <w:r>
        <w:rPr>
          <w:rFonts w:eastAsia="Times New Roman" w:cstheme="minorHAnsi"/>
          <w:color w:val="000000"/>
          <w:lang w:eastAsia="ru-RU"/>
        </w:rPr>
        <w:t>ия видов до транспортных пробок</w:t>
      </w:r>
      <w:r w:rsidRPr="00B14397">
        <w:rPr>
          <w:rFonts w:eastAsia="Times New Roman" w:cstheme="minorHAnsi"/>
          <w:color w:val="000000"/>
          <w:lang w:eastAsia="ru-RU"/>
        </w:rPr>
        <w:t>.</w:t>
      </w:r>
      <w:r w:rsidR="00D90756">
        <w:rPr>
          <w:rFonts w:eastAsia="Times New Roman" w:cstheme="minorHAnsi"/>
          <w:color w:val="000000"/>
          <w:lang w:eastAsia="ru-RU"/>
        </w:rPr>
        <w:t xml:space="preserve"> </w:t>
      </w:r>
      <w:r w:rsidRPr="00B14397">
        <w:rPr>
          <w:rFonts w:eastAsia="Times New Roman" w:cstheme="minorHAnsi"/>
          <w:color w:val="000000"/>
          <w:lang w:eastAsia="ru-RU"/>
        </w:rPr>
        <w:t>С</w:t>
      </w:r>
      <w:r>
        <w:rPr>
          <w:rFonts w:eastAsia="Times New Roman" w:cstheme="minorHAnsi"/>
          <w:color w:val="000000"/>
          <w:lang w:eastAsia="ru-RU"/>
        </w:rPr>
        <w:t xml:space="preserve"> чем связаны</w:t>
      </w:r>
      <w:r w:rsidRPr="00B14397">
        <w:rPr>
          <w:rFonts w:eastAsia="Times New Roman" w:cstheme="minorHAnsi"/>
          <w:color w:val="000000"/>
          <w:lang w:eastAsia="ru-RU"/>
        </w:rPr>
        <w:t xml:space="preserve"> эти эпизо</w:t>
      </w:r>
      <w:r>
        <w:rPr>
          <w:rFonts w:eastAsia="Times New Roman" w:cstheme="minorHAnsi"/>
          <w:color w:val="000000"/>
          <w:lang w:eastAsia="ru-RU"/>
        </w:rPr>
        <w:t>дические выб</w:t>
      </w:r>
      <w:r w:rsidR="00D90756">
        <w:rPr>
          <w:rFonts w:eastAsia="Times New Roman" w:cstheme="minorHAnsi"/>
          <w:color w:val="000000"/>
          <w:lang w:eastAsia="ru-RU"/>
        </w:rPr>
        <w:t>росы? С</w:t>
      </w:r>
      <w:r w:rsidRPr="00B14397">
        <w:rPr>
          <w:rFonts w:eastAsia="Times New Roman" w:cstheme="minorHAnsi"/>
          <w:color w:val="000000"/>
          <w:lang w:eastAsia="ru-RU"/>
        </w:rPr>
        <w:t xml:space="preserve"> исчез</w:t>
      </w:r>
      <w:r>
        <w:rPr>
          <w:rFonts w:eastAsia="Times New Roman" w:cstheme="minorHAnsi"/>
          <w:color w:val="000000"/>
          <w:lang w:eastAsia="ru-RU"/>
        </w:rPr>
        <w:t>новением разнообразия. Когда</w:t>
      </w:r>
      <w:r w:rsidRPr="00B14397">
        <w:rPr>
          <w:rFonts w:eastAsia="Times New Roman" w:cstheme="minorHAnsi"/>
          <w:color w:val="000000"/>
          <w:lang w:eastAsia="ru-RU"/>
        </w:rPr>
        <w:t xml:space="preserve"> инвесторы начинают действовать одинак</w:t>
      </w:r>
      <w:r>
        <w:rPr>
          <w:rFonts w:eastAsia="Times New Roman" w:cstheme="minorHAnsi"/>
          <w:color w:val="000000"/>
          <w:lang w:eastAsia="ru-RU"/>
        </w:rPr>
        <w:t>ово</w:t>
      </w:r>
      <w:r w:rsidRPr="00B14397">
        <w:rPr>
          <w:rFonts w:eastAsia="Times New Roman" w:cstheme="minorHAnsi"/>
          <w:color w:val="000000"/>
          <w:lang w:eastAsia="ru-RU"/>
        </w:rPr>
        <w:t>, рынки становятся неустойчивыми.</w:t>
      </w:r>
    </w:p>
    <w:p w14:paraId="1AC7F87E" w14:textId="77777777" w:rsidR="006E5881" w:rsidRDefault="006E5881" w:rsidP="00C84DBA">
      <w:pPr>
        <w:pStyle w:val="3"/>
      </w:pPr>
      <w:r>
        <w:t>Литература</w:t>
      </w:r>
    </w:p>
    <w:p w14:paraId="0D1DFA3A" w14:textId="30EEAFF0" w:rsidR="008D23CC" w:rsidRDefault="00CA6A49" w:rsidP="006143FB">
      <w:r w:rsidRPr="00CA6A49">
        <w:t>Малкольм Гладуэлл. Что видела собака. – М: Альпина Паблишер, 2013. – 576 с.</w:t>
      </w:r>
      <w:r>
        <w:t xml:space="preserve"> Конспект: </w:t>
      </w:r>
      <w:hyperlink r:id="rId19" w:history="1">
        <w:r w:rsidRPr="00F05023">
          <w:rPr>
            <w:rStyle w:val="a9"/>
          </w:rPr>
          <w:t>http://baguzin.ru/wp/?p=10085</w:t>
        </w:r>
      </w:hyperlink>
    </w:p>
    <w:p w14:paraId="29B58544" w14:textId="2A3A06E5" w:rsidR="00CA6A49" w:rsidRDefault="00CA6A49" w:rsidP="00CA6A49">
      <w:pPr>
        <w:rPr>
          <w:rFonts w:eastAsia="Times New Roman" w:cstheme="minorHAnsi"/>
          <w:color w:val="000000"/>
          <w:lang w:eastAsia="ru-RU"/>
        </w:rPr>
      </w:pPr>
      <w:r w:rsidRPr="003C78A5">
        <w:rPr>
          <w:rFonts w:eastAsia="Times New Roman" w:cstheme="minorHAnsi"/>
          <w:color w:val="000000"/>
          <w:lang w:eastAsia="ru-RU"/>
        </w:rPr>
        <w:lastRenderedPageBreak/>
        <w:t>Александр Силаев. Деньги без дураков</w:t>
      </w:r>
      <w:r>
        <w:rPr>
          <w:rFonts w:eastAsia="Times New Roman" w:cstheme="minorHAnsi"/>
          <w:color w:val="000000"/>
          <w:lang w:eastAsia="ru-RU"/>
        </w:rPr>
        <w:t>.</w:t>
      </w:r>
      <w:r w:rsidRPr="003C78A5">
        <w:rPr>
          <w:rFonts w:eastAsia="Times New Roman" w:cstheme="minorHAnsi"/>
          <w:color w:val="000000"/>
          <w:lang w:eastAsia="ru-RU"/>
        </w:rPr>
        <w:t xml:space="preserve"> Почему инвестировать сложнее, чем кажется, и как это делать правильно</w:t>
      </w:r>
      <w:r>
        <w:rPr>
          <w:rFonts w:eastAsia="Times New Roman" w:cstheme="minorHAnsi"/>
          <w:color w:val="000000"/>
          <w:lang w:eastAsia="ru-RU"/>
        </w:rPr>
        <w:t>. –</w:t>
      </w:r>
      <w:r w:rsidRPr="003C78A5">
        <w:rPr>
          <w:rFonts w:eastAsia="Times New Roman" w:cstheme="minorHAnsi"/>
          <w:color w:val="000000"/>
          <w:lang w:eastAsia="ru-RU"/>
        </w:rPr>
        <w:t xml:space="preserve"> М.: Альпина Паблишер, 20</w:t>
      </w:r>
      <w:r>
        <w:rPr>
          <w:rFonts w:eastAsia="Times New Roman" w:cstheme="minorHAnsi"/>
          <w:color w:val="000000"/>
          <w:lang w:eastAsia="ru-RU"/>
        </w:rPr>
        <w:t>20</w:t>
      </w:r>
      <w:r w:rsidRPr="003C78A5">
        <w:rPr>
          <w:rFonts w:eastAsia="Times New Roman" w:cstheme="minorHAnsi"/>
          <w:color w:val="000000"/>
          <w:lang w:eastAsia="ru-RU"/>
        </w:rPr>
        <w:t>. — 42</w:t>
      </w:r>
      <w:r>
        <w:rPr>
          <w:rFonts w:eastAsia="Times New Roman" w:cstheme="minorHAnsi"/>
          <w:color w:val="000000"/>
          <w:lang w:eastAsia="ru-RU"/>
        </w:rPr>
        <w:t>4</w:t>
      </w:r>
      <w:r w:rsidRPr="003C78A5">
        <w:rPr>
          <w:rFonts w:eastAsia="Times New Roman" w:cstheme="minorHAnsi"/>
          <w:color w:val="000000"/>
          <w:lang w:eastAsia="ru-RU"/>
        </w:rPr>
        <w:t xml:space="preserve"> с.</w:t>
      </w:r>
      <w:r>
        <w:rPr>
          <w:rFonts w:eastAsia="Times New Roman" w:cstheme="minorHAnsi"/>
          <w:color w:val="000000"/>
          <w:lang w:eastAsia="ru-RU"/>
        </w:rPr>
        <w:t xml:space="preserve"> Конспект: </w:t>
      </w:r>
      <w:hyperlink r:id="rId20" w:history="1">
        <w:r w:rsidRPr="00F05023">
          <w:rPr>
            <w:rStyle w:val="a9"/>
            <w:rFonts w:eastAsia="Times New Roman" w:cstheme="minorHAnsi"/>
            <w:lang w:eastAsia="ru-RU"/>
          </w:rPr>
          <w:t>http://baguzin.ru/wp/?p=21785</w:t>
        </w:r>
      </w:hyperlink>
    </w:p>
    <w:p w14:paraId="013BAAD9" w14:textId="60B57494" w:rsidR="00891061" w:rsidRDefault="00891061" w:rsidP="00891061">
      <w:pPr>
        <w:rPr>
          <w:rFonts w:eastAsia="Times New Roman" w:cstheme="minorHAnsi"/>
          <w:color w:val="000000"/>
          <w:lang w:eastAsia="ru-RU"/>
        </w:rPr>
      </w:pPr>
      <w:r w:rsidRPr="00B14397">
        <w:rPr>
          <w:rFonts w:eastAsia="Times New Roman" w:cstheme="minorHAnsi"/>
          <w:color w:val="000000"/>
          <w:lang w:eastAsia="ru-RU"/>
        </w:rPr>
        <w:t>Майкл Мобуссин. Больше, чем вы знаете. Необычный взгляд на мир финансов</w:t>
      </w:r>
      <w:r>
        <w:rPr>
          <w:rFonts w:eastAsia="Times New Roman" w:cstheme="minorHAnsi"/>
          <w:color w:val="000000"/>
          <w:lang w:eastAsia="ru-RU"/>
        </w:rPr>
        <w:t xml:space="preserve">. – М.: Альпина Паблишер, 2018. – 380 с. Конспект: </w:t>
      </w:r>
      <w:hyperlink r:id="rId21" w:history="1">
        <w:r w:rsidRPr="007758B8">
          <w:rPr>
            <w:rStyle w:val="a9"/>
            <w:rFonts w:eastAsia="Times New Roman" w:cstheme="minorHAnsi"/>
            <w:lang w:eastAsia="ru-RU"/>
          </w:rPr>
          <w:t>http://baguzin.ru/wp/?p=20178</w:t>
        </w:r>
      </w:hyperlink>
    </w:p>
    <w:p w14:paraId="79B03651" w14:textId="7C6A5FA9" w:rsidR="00891061" w:rsidRDefault="00D90756" w:rsidP="00D90756">
      <w:pPr>
        <w:rPr>
          <w:rFonts w:eastAsia="Times New Roman" w:cstheme="minorHAnsi"/>
          <w:color w:val="000000"/>
          <w:lang w:eastAsia="ru-RU"/>
        </w:rPr>
      </w:pPr>
      <w:r w:rsidRPr="00D90756">
        <w:rPr>
          <w:rFonts w:eastAsia="Times New Roman" w:cstheme="minorHAnsi"/>
          <w:color w:val="000000"/>
          <w:lang w:eastAsia="ru-RU"/>
        </w:rPr>
        <w:t>Бенуа Мандельброт. (Не)послушные рынки: фрактальная революция в финансах. – М.: Издательский дом Вильямс, 2006. – 400 с.</w:t>
      </w:r>
      <w:r>
        <w:rPr>
          <w:rFonts w:eastAsia="Times New Roman" w:cstheme="minorHAnsi"/>
          <w:color w:val="000000"/>
          <w:lang w:eastAsia="ru-RU"/>
        </w:rPr>
        <w:t xml:space="preserve"> Конспект: </w:t>
      </w:r>
      <w:hyperlink r:id="rId22" w:history="1">
        <w:r w:rsidRPr="007758B8">
          <w:rPr>
            <w:rStyle w:val="a9"/>
            <w:rFonts w:eastAsia="Times New Roman" w:cstheme="minorHAnsi"/>
            <w:lang w:eastAsia="ru-RU"/>
          </w:rPr>
          <w:t>http://baguzin.ru/wp/?p=1604</w:t>
        </w:r>
      </w:hyperlink>
    </w:p>
    <w:sectPr w:rsidR="0089106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34BE3" w14:textId="77777777" w:rsidR="00D90756" w:rsidRDefault="00D90756" w:rsidP="000475CD">
      <w:pPr>
        <w:spacing w:after="0"/>
      </w:pPr>
      <w:r>
        <w:separator/>
      </w:r>
    </w:p>
  </w:endnote>
  <w:endnote w:type="continuationSeparator" w:id="0">
    <w:p w14:paraId="2015719B" w14:textId="77777777" w:rsidR="00D90756" w:rsidRDefault="00D90756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0638E" w14:textId="77777777" w:rsidR="00D90756" w:rsidRDefault="00D90756" w:rsidP="000475CD">
      <w:pPr>
        <w:spacing w:after="0"/>
      </w:pPr>
      <w:r>
        <w:separator/>
      </w:r>
    </w:p>
  </w:footnote>
  <w:footnote w:type="continuationSeparator" w:id="0">
    <w:p w14:paraId="71649384" w14:textId="77777777" w:rsidR="00D90756" w:rsidRDefault="00D90756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40BC"/>
    <w:multiLevelType w:val="hybridMultilevel"/>
    <w:tmpl w:val="8CA2C740"/>
    <w:lvl w:ilvl="0" w:tplc="178C9674">
      <w:start w:val="5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F36E0"/>
    <w:multiLevelType w:val="hybridMultilevel"/>
    <w:tmpl w:val="0F28C482"/>
    <w:lvl w:ilvl="0" w:tplc="859067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12E50"/>
    <w:multiLevelType w:val="hybridMultilevel"/>
    <w:tmpl w:val="A8F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13E22"/>
    <w:rsid w:val="0002103B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5A9"/>
    <w:rsid w:val="00086E8D"/>
    <w:rsid w:val="00087130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44A6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2354"/>
    <w:rsid w:val="00142BA0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B3262"/>
    <w:rsid w:val="001B4B8E"/>
    <w:rsid w:val="001C2100"/>
    <w:rsid w:val="001C3EE8"/>
    <w:rsid w:val="001C4E9E"/>
    <w:rsid w:val="001C7059"/>
    <w:rsid w:val="001C75AA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1D2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2F575E"/>
    <w:rsid w:val="00300439"/>
    <w:rsid w:val="003008A6"/>
    <w:rsid w:val="00306C63"/>
    <w:rsid w:val="00311F25"/>
    <w:rsid w:val="00312912"/>
    <w:rsid w:val="00316573"/>
    <w:rsid w:val="003212AA"/>
    <w:rsid w:val="003213AE"/>
    <w:rsid w:val="00322D90"/>
    <w:rsid w:val="00324923"/>
    <w:rsid w:val="00325505"/>
    <w:rsid w:val="00332B03"/>
    <w:rsid w:val="00335B8C"/>
    <w:rsid w:val="00343DE1"/>
    <w:rsid w:val="00345C3A"/>
    <w:rsid w:val="003535C5"/>
    <w:rsid w:val="003542AB"/>
    <w:rsid w:val="00373B15"/>
    <w:rsid w:val="00373D54"/>
    <w:rsid w:val="00384FB1"/>
    <w:rsid w:val="003873D0"/>
    <w:rsid w:val="0039042D"/>
    <w:rsid w:val="003930B4"/>
    <w:rsid w:val="00394FD8"/>
    <w:rsid w:val="003B29AC"/>
    <w:rsid w:val="003B42B1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615"/>
    <w:rsid w:val="00400082"/>
    <w:rsid w:val="00400B86"/>
    <w:rsid w:val="004066FA"/>
    <w:rsid w:val="00407363"/>
    <w:rsid w:val="004073D4"/>
    <w:rsid w:val="004214D7"/>
    <w:rsid w:val="00422155"/>
    <w:rsid w:val="004273E8"/>
    <w:rsid w:val="00431092"/>
    <w:rsid w:val="00431E00"/>
    <w:rsid w:val="00432969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59D0"/>
    <w:rsid w:val="00496AD8"/>
    <w:rsid w:val="004A191B"/>
    <w:rsid w:val="004A4830"/>
    <w:rsid w:val="004A6A0D"/>
    <w:rsid w:val="004A7E5C"/>
    <w:rsid w:val="004A7F73"/>
    <w:rsid w:val="004B2E15"/>
    <w:rsid w:val="004B3FF6"/>
    <w:rsid w:val="004C0FD3"/>
    <w:rsid w:val="004C3826"/>
    <w:rsid w:val="004C583E"/>
    <w:rsid w:val="004D0C6D"/>
    <w:rsid w:val="004D4091"/>
    <w:rsid w:val="004D48B8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3706E"/>
    <w:rsid w:val="00541119"/>
    <w:rsid w:val="00543152"/>
    <w:rsid w:val="005442BE"/>
    <w:rsid w:val="00544968"/>
    <w:rsid w:val="0055039D"/>
    <w:rsid w:val="0055541A"/>
    <w:rsid w:val="005616A5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0A03"/>
    <w:rsid w:val="005B1632"/>
    <w:rsid w:val="005B6151"/>
    <w:rsid w:val="005C5D83"/>
    <w:rsid w:val="005C61BB"/>
    <w:rsid w:val="005C7B3A"/>
    <w:rsid w:val="005D0A32"/>
    <w:rsid w:val="005D2460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70863"/>
    <w:rsid w:val="00673765"/>
    <w:rsid w:val="006860AD"/>
    <w:rsid w:val="00687699"/>
    <w:rsid w:val="0069334E"/>
    <w:rsid w:val="00693D9E"/>
    <w:rsid w:val="00695F83"/>
    <w:rsid w:val="006A0F7E"/>
    <w:rsid w:val="006A29FD"/>
    <w:rsid w:val="006A481E"/>
    <w:rsid w:val="006A5279"/>
    <w:rsid w:val="006D4B90"/>
    <w:rsid w:val="006D6415"/>
    <w:rsid w:val="006E0AFE"/>
    <w:rsid w:val="006E0E57"/>
    <w:rsid w:val="006E1C45"/>
    <w:rsid w:val="006E2B86"/>
    <w:rsid w:val="006E5881"/>
    <w:rsid w:val="006E6829"/>
    <w:rsid w:val="006F2DD9"/>
    <w:rsid w:val="006F7C16"/>
    <w:rsid w:val="00701647"/>
    <w:rsid w:val="0071143C"/>
    <w:rsid w:val="0071179E"/>
    <w:rsid w:val="00716E69"/>
    <w:rsid w:val="007207E0"/>
    <w:rsid w:val="00722138"/>
    <w:rsid w:val="00722EF1"/>
    <w:rsid w:val="0072504B"/>
    <w:rsid w:val="00734115"/>
    <w:rsid w:val="00736380"/>
    <w:rsid w:val="00736565"/>
    <w:rsid w:val="007405DC"/>
    <w:rsid w:val="00745F60"/>
    <w:rsid w:val="00747361"/>
    <w:rsid w:val="0075530C"/>
    <w:rsid w:val="00760706"/>
    <w:rsid w:val="00763CE8"/>
    <w:rsid w:val="00767F32"/>
    <w:rsid w:val="00772636"/>
    <w:rsid w:val="00774211"/>
    <w:rsid w:val="0078199A"/>
    <w:rsid w:val="007828ED"/>
    <w:rsid w:val="007A517C"/>
    <w:rsid w:val="007A67C1"/>
    <w:rsid w:val="007B116A"/>
    <w:rsid w:val="007B557A"/>
    <w:rsid w:val="007C1463"/>
    <w:rsid w:val="007C31A6"/>
    <w:rsid w:val="007C56BF"/>
    <w:rsid w:val="007D5909"/>
    <w:rsid w:val="007E660D"/>
    <w:rsid w:val="007F31C1"/>
    <w:rsid w:val="007F6CF4"/>
    <w:rsid w:val="007F73A4"/>
    <w:rsid w:val="007F79CB"/>
    <w:rsid w:val="0080196F"/>
    <w:rsid w:val="00803167"/>
    <w:rsid w:val="0080316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1061"/>
    <w:rsid w:val="00894277"/>
    <w:rsid w:val="00896D57"/>
    <w:rsid w:val="008A10CB"/>
    <w:rsid w:val="008A6D98"/>
    <w:rsid w:val="008A7F6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E26"/>
    <w:rsid w:val="0095568B"/>
    <w:rsid w:val="00956307"/>
    <w:rsid w:val="00957EF6"/>
    <w:rsid w:val="0096043C"/>
    <w:rsid w:val="009631AD"/>
    <w:rsid w:val="009710A2"/>
    <w:rsid w:val="00975419"/>
    <w:rsid w:val="009818BB"/>
    <w:rsid w:val="00981A89"/>
    <w:rsid w:val="00986D46"/>
    <w:rsid w:val="00987617"/>
    <w:rsid w:val="00991613"/>
    <w:rsid w:val="009A52DF"/>
    <w:rsid w:val="009B0731"/>
    <w:rsid w:val="009B2AAD"/>
    <w:rsid w:val="009B53B8"/>
    <w:rsid w:val="009C5CFA"/>
    <w:rsid w:val="009D2E10"/>
    <w:rsid w:val="009D5227"/>
    <w:rsid w:val="009D535F"/>
    <w:rsid w:val="009E230B"/>
    <w:rsid w:val="009E4C3F"/>
    <w:rsid w:val="009F22E9"/>
    <w:rsid w:val="009F5241"/>
    <w:rsid w:val="00A03D99"/>
    <w:rsid w:val="00A03FA9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1731"/>
    <w:rsid w:val="00A3707D"/>
    <w:rsid w:val="00A422CE"/>
    <w:rsid w:val="00A447AC"/>
    <w:rsid w:val="00A46497"/>
    <w:rsid w:val="00A60EEF"/>
    <w:rsid w:val="00A6110D"/>
    <w:rsid w:val="00A62CF2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48B5"/>
    <w:rsid w:val="00AA67C4"/>
    <w:rsid w:val="00AA7F42"/>
    <w:rsid w:val="00AB3621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0839"/>
    <w:rsid w:val="00B53AAE"/>
    <w:rsid w:val="00B56055"/>
    <w:rsid w:val="00B6699D"/>
    <w:rsid w:val="00B715FE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F5289"/>
    <w:rsid w:val="00C07B7B"/>
    <w:rsid w:val="00C147DB"/>
    <w:rsid w:val="00C1582D"/>
    <w:rsid w:val="00C21341"/>
    <w:rsid w:val="00C21F79"/>
    <w:rsid w:val="00C32E8B"/>
    <w:rsid w:val="00C363B1"/>
    <w:rsid w:val="00C417D9"/>
    <w:rsid w:val="00C5315B"/>
    <w:rsid w:val="00C54462"/>
    <w:rsid w:val="00C5450E"/>
    <w:rsid w:val="00C55514"/>
    <w:rsid w:val="00C57A4E"/>
    <w:rsid w:val="00C65221"/>
    <w:rsid w:val="00C70693"/>
    <w:rsid w:val="00C726FE"/>
    <w:rsid w:val="00C7538C"/>
    <w:rsid w:val="00C82D4C"/>
    <w:rsid w:val="00C8327B"/>
    <w:rsid w:val="00C84DBA"/>
    <w:rsid w:val="00C86A16"/>
    <w:rsid w:val="00C90383"/>
    <w:rsid w:val="00C90EEC"/>
    <w:rsid w:val="00C97019"/>
    <w:rsid w:val="00C97443"/>
    <w:rsid w:val="00CA131A"/>
    <w:rsid w:val="00CA6A4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4813"/>
    <w:rsid w:val="00D06845"/>
    <w:rsid w:val="00D10EBF"/>
    <w:rsid w:val="00D124D2"/>
    <w:rsid w:val="00D14EB6"/>
    <w:rsid w:val="00D20E37"/>
    <w:rsid w:val="00D20E6D"/>
    <w:rsid w:val="00D22889"/>
    <w:rsid w:val="00D23EB1"/>
    <w:rsid w:val="00D24F9E"/>
    <w:rsid w:val="00D3175B"/>
    <w:rsid w:val="00D34F15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3D73"/>
    <w:rsid w:val="00D70F6A"/>
    <w:rsid w:val="00D72E52"/>
    <w:rsid w:val="00D730CF"/>
    <w:rsid w:val="00D74EA5"/>
    <w:rsid w:val="00D864EC"/>
    <w:rsid w:val="00D9075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E1B48"/>
    <w:rsid w:val="00DE3777"/>
    <w:rsid w:val="00DE3F82"/>
    <w:rsid w:val="00DE4179"/>
    <w:rsid w:val="00DE7B05"/>
    <w:rsid w:val="00DF1AA2"/>
    <w:rsid w:val="00DF432A"/>
    <w:rsid w:val="00DF6025"/>
    <w:rsid w:val="00E003FD"/>
    <w:rsid w:val="00E03206"/>
    <w:rsid w:val="00E04621"/>
    <w:rsid w:val="00E07D69"/>
    <w:rsid w:val="00E14364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F0DEC"/>
    <w:rsid w:val="00EF7029"/>
    <w:rsid w:val="00F028BB"/>
    <w:rsid w:val="00F1333B"/>
    <w:rsid w:val="00F15470"/>
    <w:rsid w:val="00F17E00"/>
    <w:rsid w:val="00F226AE"/>
    <w:rsid w:val="00F3301F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76EDE"/>
    <w:rsid w:val="00F8127F"/>
    <w:rsid w:val="00F82EC3"/>
    <w:rsid w:val="00F94882"/>
    <w:rsid w:val="00F958DD"/>
    <w:rsid w:val="00F95A26"/>
    <w:rsid w:val="00FA7B49"/>
    <w:rsid w:val="00FB0170"/>
    <w:rsid w:val="00FB473E"/>
    <w:rsid w:val="00FC2A23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5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0%D0%BE%D1%81,_%D0%94%D0%B6%D0%BE%D1%80%D0%B4%D0%B6" TargetMode="External"/><Relationship Id="rId13" Type="http://schemas.openxmlformats.org/officeDocument/2006/relationships/hyperlink" Target="https://ru.wikipedia.org/wiki/%D0%A1%D0%B8%D1%81%D1%82%D0%B5%D0%BC%D0%B0%D1%82%D0%B8%D1%87%D0%B5%D1%81%D0%BA%D0%B0%D1%8F_%D0%BE%D1%88%D0%B8%D0%B1%D0%BA%D0%B0_%D0%B2%D1%8B%D0%B6%D0%B8%D0%B2%D1%88%D0%B5%D0%B3%D0%BE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baguzin.ru/wp/?p=2017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hyperlink" Target="http://baguzin.ru/wp/?p=1819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://baguzin.ru/wp/?p=21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304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://baguzin.ru/wp/?p=100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1%91%D1%80%D0%BD%D0%B0%D1%8F_%D1%81%D1%80%D0%B5%D0%B4%D0%B0_(1992)" TargetMode="External"/><Relationship Id="rId14" Type="http://schemas.openxmlformats.org/officeDocument/2006/relationships/hyperlink" Target="https://www.mann-ivanov-ferber.ru/books/chemu-ya-nauchilsya-poteryav-million-dollarov/" TargetMode="External"/><Relationship Id="rId22" Type="http://schemas.openxmlformats.org/officeDocument/2006/relationships/hyperlink" Target="http://baguzin.ru/wp/?p=1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82BD-6903-447B-B996-F4A5B68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2020-08-16T12:41:00Z</cp:lastPrinted>
  <dcterms:created xsi:type="dcterms:W3CDTF">2020-08-16T13:05:00Z</dcterms:created>
  <dcterms:modified xsi:type="dcterms:W3CDTF">2020-08-29T14:43:00Z</dcterms:modified>
</cp:coreProperties>
</file>