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68677AED" w:rsidR="00CE6CA1" w:rsidRDefault="006E5881" w:rsidP="006143FB">
      <w:pPr>
        <w:pStyle w:val="2"/>
        <w:spacing w:before="0" w:after="120" w:line="240" w:lineRule="auto"/>
      </w:pPr>
      <w:r w:rsidRPr="006E5881">
        <w:t xml:space="preserve">Управление в условиях </w:t>
      </w:r>
      <w:r w:rsidR="009818BB">
        <w:t xml:space="preserve">риска и </w:t>
      </w:r>
      <w:r w:rsidRPr="006E5881">
        <w:t>неопределенности</w:t>
      </w:r>
    </w:p>
    <w:p w14:paraId="2E8667D1" w14:textId="2DC6705C" w:rsidR="00D55757" w:rsidRPr="00D55757" w:rsidRDefault="00D55757" w:rsidP="00D55757">
      <w:pPr>
        <w:spacing w:after="120" w:line="240" w:lineRule="auto"/>
        <w:ind w:left="708"/>
        <w:rPr>
          <w:i/>
          <w:iCs/>
        </w:rPr>
      </w:pPr>
      <w:r w:rsidRPr="00D55757">
        <w:t xml:space="preserve">Нелегкое это дело </w:t>
      </w:r>
      <w:r>
        <w:t>–</w:t>
      </w:r>
      <w:r w:rsidRPr="00D55757">
        <w:t xml:space="preserve"> предсказывать, особенно будущее</w:t>
      </w:r>
      <w:r w:rsidR="009818BB">
        <w:t>…</w:t>
      </w:r>
      <w:r>
        <w:br/>
      </w:r>
      <w:hyperlink r:id="rId8" w:history="1">
        <w:r w:rsidRPr="00D55757">
          <w:rPr>
            <w:rStyle w:val="a9"/>
            <w:i/>
            <w:iCs/>
          </w:rPr>
          <w:t>Йоги Берра</w:t>
        </w:r>
      </w:hyperlink>
    </w:p>
    <w:p w14:paraId="1CBD69D6" w14:textId="77AF22AD" w:rsidR="00D55757" w:rsidRDefault="00D55757" w:rsidP="00D55757">
      <w:pPr>
        <w:spacing w:after="120" w:line="240" w:lineRule="auto"/>
      </w:pPr>
      <w:r w:rsidRPr="00E11DB6">
        <w:t xml:space="preserve">При </w:t>
      </w:r>
      <w:r w:rsidR="00A46497">
        <w:t xml:space="preserve">планировании деятельности </w:t>
      </w:r>
      <w:r w:rsidRPr="00E11DB6">
        <w:t>возникает неопределенность</w:t>
      </w:r>
      <w:r w:rsidR="009818BB">
        <w:t xml:space="preserve">. </w:t>
      </w:r>
      <w:r w:rsidR="009818BB" w:rsidRPr="00E11DB6">
        <w:t xml:space="preserve">А с неопределенностью связан риск. </w:t>
      </w:r>
      <w:r w:rsidRPr="00E11DB6">
        <w:t xml:space="preserve">Тем не менее, к риску и неопределенности не следует относиться отрицательно. Это просто оборотная сторона доходности и развития! Как заметил </w:t>
      </w:r>
      <w:hyperlink r:id="rId9" w:history="1">
        <w:r w:rsidRPr="009818BB">
          <w:rPr>
            <w:rStyle w:val="a9"/>
          </w:rPr>
          <w:t>Джин Кэллахан</w:t>
        </w:r>
      </w:hyperlink>
      <w:r w:rsidRPr="00E11DB6">
        <w:t>: «Существование деятельности подразумевает неопределенность будущего. В мире, где будущее известно наверняка, деятельность невозможна!»</w:t>
      </w:r>
    </w:p>
    <w:p w14:paraId="60AA2AF2" w14:textId="77777777" w:rsidR="007B116A" w:rsidRDefault="007B116A" w:rsidP="007B116A">
      <w:pPr>
        <w:spacing w:after="120" w:line="240" w:lineRule="auto"/>
      </w:pPr>
      <w:r>
        <w:rPr>
          <w:noProof/>
        </w:rPr>
        <w:drawing>
          <wp:inline distT="0" distB="0" distL="0" distR="0" wp14:anchorId="25FA1D9C" wp14:editId="074EBAD3">
            <wp:extent cx="4147766" cy="2804614"/>
            <wp:effectExtent l="19050" t="0" r="5134" b="0"/>
            <wp:docPr id="1" name="Рисунок 0" descr="2. Пример дерева принятия реш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Пример дерева принятия решений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093" cy="280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8182" w14:textId="6F70265E" w:rsidR="007B116A" w:rsidRPr="00E11DB6" w:rsidRDefault="007B116A" w:rsidP="00D55757">
      <w:pPr>
        <w:spacing w:after="120" w:line="240" w:lineRule="auto"/>
      </w:pPr>
      <w:r>
        <w:t>Рис. 1. Пример дерева принятия решений</w:t>
      </w:r>
      <w:r>
        <w:t>; к</w:t>
      </w:r>
      <w:r>
        <w:t xml:space="preserve">вадратик </w:t>
      </w:r>
      <w:r>
        <w:t>–</w:t>
      </w:r>
      <w:r>
        <w:t xml:space="preserve"> точк</w:t>
      </w:r>
      <w:r>
        <w:t>а</w:t>
      </w:r>
      <w:r>
        <w:t xml:space="preserve"> принятия решения, кружки – моменты наступления случайных событий</w:t>
      </w:r>
    </w:p>
    <w:p w14:paraId="538F1684" w14:textId="74EB4DE0" w:rsidR="004C583E" w:rsidRPr="003D2918" w:rsidRDefault="00E435DD" w:rsidP="006143FB">
      <w:pPr>
        <w:pStyle w:val="af3"/>
        <w:rPr>
          <w:rFonts w:asciiTheme="minorHAnsi" w:hAnsiTheme="minorHAnsi"/>
        </w:rPr>
      </w:pPr>
      <w:hyperlink r:id="rId11" w:history="1">
        <w:r w:rsidR="004C583E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4C583E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4C583E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2" w:history="1">
        <w:r w:rsidR="004C583E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4C583E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4C583E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322697B2" w14:textId="3B8397A7" w:rsidR="00A46497" w:rsidRDefault="006143FB" w:rsidP="009818BB">
      <w:pPr>
        <w:spacing w:after="120" w:line="240" w:lineRule="auto"/>
      </w:pPr>
      <w:r w:rsidRPr="009818BB">
        <w:rPr>
          <w:i/>
          <w:iCs/>
        </w:rPr>
        <w:t>Неопределенность</w:t>
      </w:r>
      <w:r w:rsidRPr="00E11DB6">
        <w:t xml:space="preserve"> </w:t>
      </w:r>
      <w:r>
        <w:t>–</w:t>
      </w:r>
      <w:r w:rsidRPr="00E11DB6">
        <w:t xml:space="preserve"> состояние, </w:t>
      </w:r>
      <w:r>
        <w:t>когда наступление тех или иных событий имеет вероятностную природу.</w:t>
      </w:r>
      <w:r w:rsidR="00A46497">
        <w:t xml:space="preserve"> </w:t>
      </w:r>
      <w:r w:rsidR="009818BB" w:rsidRPr="009818BB">
        <w:rPr>
          <w:i/>
          <w:iCs/>
        </w:rPr>
        <w:t>Риск</w:t>
      </w:r>
      <w:r w:rsidR="009818BB" w:rsidRPr="00E11DB6">
        <w:t xml:space="preserve"> – </w:t>
      </w:r>
      <w:r w:rsidR="009818BB">
        <w:t xml:space="preserve">негативное </w:t>
      </w:r>
      <w:r w:rsidR="009818BB" w:rsidRPr="00E11DB6">
        <w:t>влияние неопределенности на цели</w:t>
      </w:r>
      <w:r w:rsidR="009818BB">
        <w:t xml:space="preserve"> деятельности.</w:t>
      </w:r>
      <w:r w:rsidR="00A46497">
        <w:t xml:space="preserve"> </w:t>
      </w:r>
      <w:r>
        <w:t>Если деятельность осуществляется без постановки целей, то иногда вы не будете знать, реализовался ли риск…</w:t>
      </w:r>
    </w:p>
    <w:p w14:paraId="0407BF8E" w14:textId="5D4D2AB3" w:rsidR="006143FB" w:rsidRDefault="006143FB" w:rsidP="009818BB">
      <w:pPr>
        <w:spacing w:after="120" w:line="240" w:lineRule="auto"/>
      </w:pPr>
      <w:r>
        <w:t>Умение принимать решения в условиях риска и неопределенности – это следующий шаг в развитии управленческих навыков по сравнению с планированием на основе одного (пусть и самого вероятного) сценария.</w:t>
      </w:r>
      <w:r w:rsidR="009818BB">
        <w:t xml:space="preserve"> </w:t>
      </w:r>
      <w:r w:rsidR="00180C15">
        <w:t>В т</w:t>
      </w:r>
      <w:r w:rsidR="009818BB">
        <w:t>еори</w:t>
      </w:r>
      <w:r w:rsidR="00180C15">
        <w:t>и</w:t>
      </w:r>
      <w:r w:rsidR="009818BB">
        <w:t xml:space="preserve"> </w:t>
      </w:r>
      <w:r w:rsidR="00A46497">
        <w:t xml:space="preserve">и </w:t>
      </w:r>
      <w:r w:rsidR="009818BB">
        <w:t>практик</w:t>
      </w:r>
      <w:r w:rsidR="00180C15">
        <w:t>е</w:t>
      </w:r>
      <w:r w:rsidR="009818BB">
        <w:t xml:space="preserve"> менеджмента использу</w:t>
      </w:r>
      <w:r w:rsidR="00180C15">
        <w:t>ю</w:t>
      </w:r>
      <w:r w:rsidR="009818BB">
        <w:t xml:space="preserve">тся </w:t>
      </w:r>
      <w:r w:rsidR="00180C15">
        <w:t>различные</w:t>
      </w:r>
      <w:r w:rsidR="009818BB">
        <w:t xml:space="preserve"> метод</w:t>
      </w:r>
      <w:r w:rsidR="00180C15">
        <w:t>ы</w:t>
      </w:r>
      <w:r w:rsidR="009818BB">
        <w:t xml:space="preserve"> </w:t>
      </w:r>
      <w:r>
        <w:t>принятия решени</w:t>
      </w:r>
      <w:r w:rsidR="00180C15">
        <w:t>й</w:t>
      </w:r>
      <w:r>
        <w:t>, учитывающие вероятностную природу будущих событий</w:t>
      </w:r>
      <w:r w:rsidR="009818BB">
        <w:t>.</w:t>
      </w:r>
    </w:p>
    <w:p w14:paraId="53DCB91E" w14:textId="75B2625C" w:rsidR="006143FB" w:rsidRPr="00255195" w:rsidRDefault="00180C15" w:rsidP="009818BB">
      <w:pPr>
        <w:pStyle w:val="3"/>
      </w:pPr>
      <w:r>
        <w:t>М</w:t>
      </w:r>
      <w:r w:rsidR="00A46497">
        <w:t>атематическо</w:t>
      </w:r>
      <w:r>
        <w:t>е</w:t>
      </w:r>
      <w:r w:rsidR="00A46497">
        <w:t xml:space="preserve"> ожидани</w:t>
      </w:r>
      <w:r>
        <w:t>е</w:t>
      </w:r>
    </w:p>
    <w:p w14:paraId="5776BCAF" w14:textId="77D4585D" w:rsidR="006143FB" w:rsidRDefault="00180C15" w:rsidP="006143FB">
      <w:pPr>
        <w:spacing w:after="120" w:line="240" w:lineRule="auto"/>
      </w:pPr>
      <w:r>
        <w:t>Э</w:t>
      </w:r>
      <w:r w:rsidR="006143FB">
        <w:t xml:space="preserve">то самый простой и часто встречающийся способ учета неопределенности. </w:t>
      </w:r>
      <w:r w:rsidR="00A46497">
        <w:t>Матожидание</w:t>
      </w:r>
      <w:r w:rsidR="006143FB">
        <w:t xml:space="preserve"> рассчитывается путем взвешивания возможных результатов по вероятности их наступления.</w:t>
      </w:r>
      <w:r>
        <w:t xml:space="preserve"> </w:t>
      </w:r>
      <w:r w:rsidR="00A46497">
        <w:t>Например,</w:t>
      </w:r>
      <w:r w:rsidR="006143FB" w:rsidRPr="00804F15">
        <w:t xml:space="preserve"> </w:t>
      </w:r>
      <w:r w:rsidR="00A46497">
        <w:t>к</w:t>
      </w:r>
      <w:r w:rsidR="006143FB">
        <w:t xml:space="preserve">омпания изучает перспективы запуска в производство нового продукта. Решение о запуске будет положительным, если ожидаемый доход превысит 1 млн. руб. Маркетинговые исследования выявили несколько возможных сценариев развития событий (не спрашивайте меня, как маркетологи пришли к таким суждениям </w:t>
      </w:r>
      <w:r w:rsidR="006143FB" w:rsidRPr="00255195">
        <w:sym w:font="Wingdings" w:char="F04A"/>
      </w:r>
      <w:r w:rsidR="006143FB">
        <w:t>):</w:t>
      </w:r>
    </w:p>
    <w:p w14:paraId="013170BA" w14:textId="3A638F01" w:rsidR="006143FB" w:rsidRDefault="006143FB" w:rsidP="006143FB">
      <w:pPr>
        <w:spacing w:after="120" w:line="240" w:lineRule="auto"/>
      </w:pPr>
      <w:r>
        <w:rPr>
          <w:noProof/>
        </w:rPr>
        <w:drawing>
          <wp:inline distT="0" distB="0" distL="0" distR="0" wp14:anchorId="00EBF50E" wp14:editId="7724BFC6">
            <wp:extent cx="4464240" cy="1085482"/>
            <wp:effectExtent l="19050" t="0" r="0" b="0"/>
            <wp:docPr id="3" name="Рисунок 2" descr="1. Пример 1. Ожидаемый дох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Пример 1. Ожидаемый доход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35" cy="108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52FA" w14:textId="132FF6D4" w:rsidR="006143FB" w:rsidRDefault="00A46497" w:rsidP="00A46497">
      <w:pPr>
        <w:spacing w:after="120" w:line="240" w:lineRule="auto"/>
      </w:pPr>
      <w:r>
        <w:t>Матожидание</w:t>
      </w:r>
      <w:r w:rsidR="006143FB">
        <w:t xml:space="preserve"> доход</w:t>
      </w:r>
      <w:r>
        <w:t>а</w:t>
      </w:r>
      <w:r w:rsidR="006143FB">
        <w:t xml:space="preserve"> = 800 000 * 0,15 + 1 000 000 * 0,5 + 1 200 000 * 0,35 = 1 040 000 руб.</w:t>
      </w:r>
    </w:p>
    <w:p w14:paraId="3A8ACACC" w14:textId="0A9A4794" w:rsidR="006143FB" w:rsidRDefault="00A46497" w:rsidP="00A46497">
      <w:pPr>
        <w:spacing w:after="0" w:line="240" w:lineRule="auto"/>
      </w:pPr>
      <w:r>
        <w:t>В</w:t>
      </w:r>
      <w:r w:rsidR="006143FB">
        <w:t>ыдел</w:t>
      </w:r>
      <w:r>
        <w:t>яют</w:t>
      </w:r>
      <w:r w:rsidR="006143FB">
        <w:t xml:space="preserve"> три типа отношения к риску:</w:t>
      </w:r>
    </w:p>
    <w:p w14:paraId="7992CC4C" w14:textId="1423DB4D" w:rsidR="006143FB" w:rsidRDefault="00A46497" w:rsidP="00A46497">
      <w:pPr>
        <w:pStyle w:val="aa"/>
        <w:numPr>
          <w:ilvl w:val="0"/>
          <w:numId w:val="48"/>
        </w:numPr>
        <w:spacing w:after="120" w:line="240" w:lineRule="auto"/>
      </w:pPr>
      <w:r>
        <w:rPr>
          <w:i/>
        </w:rPr>
        <w:lastRenderedPageBreak/>
        <w:t>н</w:t>
      </w:r>
      <w:r w:rsidR="006143FB" w:rsidRPr="00A46497">
        <w:rPr>
          <w:i/>
        </w:rPr>
        <w:t>ейтральные к риску</w:t>
      </w:r>
      <w:r w:rsidR="006143FB">
        <w:t xml:space="preserve"> – главное внимание уделяют </w:t>
      </w:r>
      <w:r>
        <w:t>матожиданию</w:t>
      </w:r>
      <w:r w:rsidR="006143FB">
        <w:t>, практически игнориру</w:t>
      </w:r>
      <w:r>
        <w:t>я</w:t>
      </w:r>
      <w:r w:rsidR="006143FB">
        <w:t xml:space="preserve"> возможные отклонения;</w:t>
      </w:r>
    </w:p>
    <w:p w14:paraId="0FB477CC" w14:textId="234279D8" w:rsidR="006143FB" w:rsidRDefault="00A46497" w:rsidP="00A46497">
      <w:pPr>
        <w:pStyle w:val="aa"/>
        <w:numPr>
          <w:ilvl w:val="0"/>
          <w:numId w:val="48"/>
        </w:numPr>
        <w:spacing w:after="120" w:line="240" w:lineRule="auto"/>
      </w:pPr>
      <w:r>
        <w:rPr>
          <w:i/>
        </w:rPr>
        <w:t>с</w:t>
      </w:r>
      <w:r w:rsidR="006143FB" w:rsidRPr="00A46497">
        <w:rPr>
          <w:i/>
        </w:rPr>
        <w:t xml:space="preserve">клонные к риску </w:t>
      </w:r>
      <w:r w:rsidR="006143FB" w:rsidRPr="0058281B">
        <w:t>–</w:t>
      </w:r>
      <w:r w:rsidR="006143FB">
        <w:t xml:space="preserve"> сосредотачиваются на самой благоприятной возможности, меньше внимания уделя</w:t>
      </w:r>
      <w:r>
        <w:t>я</w:t>
      </w:r>
      <w:r w:rsidR="006143FB">
        <w:t xml:space="preserve"> ее вероятности;</w:t>
      </w:r>
    </w:p>
    <w:p w14:paraId="19648E13" w14:textId="4C68FC2C" w:rsidR="006143FB" w:rsidRPr="00286E78" w:rsidRDefault="00A46497" w:rsidP="00A46497">
      <w:pPr>
        <w:pStyle w:val="aa"/>
        <w:numPr>
          <w:ilvl w:val="0"/>
          <w:numId w:val="48"/>
        </w:numPr>
        <w:spacing w:after="120" w:line="240" w:lineRule="auto"/>
      </w:pPr>
      <w:r>
        <w:rPr>
          <w:i/>
        </w:rPr>
        <w:t>н</w:t>
      </w:r>
      <w:r w:rsidR="006143FB" w:rsidRPr="00A46497">
        <w:rPr>
          <w:i/>
        </w:rPr>
        <w:t xml:space="preserve">е склонные к риску </w:t>
      </w:r>
      <w:r w:rsidR="006143FB" w:rsidRPr="0058281B">
        <w:t>–</w:t>
      </w:r>
      <w:r w:rsidR="006143FB">
        <w:t xml:space="preserve"> концентрируются на негативных сценариях, выбирают решения, в которых потери или отклонения от среднего минимальны</w:t>
      </w:r>
      <w:r>
        <w:t>.</w:t>
      </w:r>
    </w:p>
    <w:p w14:paraId="3B33D105" w14:textId="6D0B6B05" w:rsidR="00FA7B49" w:rsidRDefault="008D23CC" w:rsidP="00FA7B49">
      <w:pPr>
        <w:pStyle w:val="3"/>
      </w:pPr>
      <w:r>
        <w:t>Игра на шансы</w:t>
      </w:r>
      <w:bookmarkStart w:id="0" w:name="_GoBack"/>
      <w:bookmarkEnd w:id="0"/>
    </w:p>
    <w:p w14:paraId="74CFEE8B" w14:textId="454E8F63" w:rsidR="00FA7B49" w:rsidRDefault="007A517C" w:rsidP="007A517C">
      <w:pPr>
        <w:spacing w:after="120" w:line="240" w:lineRule="auto"/>
      </w:pPr>
      <w:r>
        <w:t>Иногда менеджеры ориентируются не на матожидание, а на шансы. Нассим Николас Талеб считает, что такой подход способен порождать Черных лебедей</w:t>
      </w:r>
      <w:r w:rsidR="008D23CC">
        <w:t xml:space="preserve"> – события малой вероятности, но с катастрофическими последствиями:</w:t>
      </w:r>
    </w:p>
    <w:p w14:paraId="0937A906" w14:textId="1195EA63" w:rsidR="001C75AA" w:rsidRDefault="001C75AA" w:rsidP="009B0731">
      <w:pPr>
        <w:spacing w:before="120" w:after="120" w:line="240" w:lineRule="auto"/>
      </w:pPr>
      <w:r>
        <w:rPr>
          <w:noProof/>
        </w:rPr>
        <w:drawing>
          <wp:inline distT="0" distB="0" distL="0" distR="0" wp14:anchorId="3F4D89F1" wp14:editId="3A5DCE7D">
            <wp:extent cx="3810000" cy="542925"/>
            <wp:effectExtent l="0" t="0" r="0" b="952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Асимметричные шанс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7312" w14:textId="21746447" w:rsidR="008D23CC" w:rsidRPr="00536C15" w:rsidRDefault="00FA7B49" w:rsidP="009B0731">
      <w:pPr>
        <w:spacing w:before="120" w:after="120" w:line="240" w:lineRule="auto"/>
      </w:pPr>
      <w:r w:rsidRPr="00536C15">
        <w:t>М</w:t>
      </w:r>
      <w:r>
        <w:t>ат</w:t>
      </w:r>
      <w:r w:rsidRPr="00536C15">
        <w:t xml:space="preserve">ожидание </w:t>
      </w:r>
      <w:r w:rsidR="007A517C">
        <w:t>=</w:t>
      </w:r>
      <w:r w:rsidRPr="00536C15">
        <w:t xml:space="preserve"> </w:t>
      </w:r>
      <w:r w:rsidR="007A517C">
        <w:t>0,999 * 1 – 0,001* 10 000 = -9,001</w:t>
      </w:r>
      <w:r w:rsidRPr="00536C15">
        <w:t xml:space="preserve">. </w:t>
      </w:r>
      <w:r>
        <w:t>Но</w:t>
      </w:r>
      <w:r w:rsidRPr="00536C15">
        <w:t xml:space="preserve"> вероятность потери</w:t>
      </w:r>
      <w:r>
        <w:t xml:space="preserve"> крайне мала. </w:t>
      </w:r>
      <w:r w:rsidRPr="00536C15">
        <w:t>Есть шансы, что мы делал</w:t>
      </w:r>
      <w:r>
        <w:t xml:space="preserve">и бы деньги, ставя на событие А. </w:t>
      </w:r>
      <w:r w:rsidRPr="00536C15">
        <w:t xml:space="preserve">Почему </w:t>
      </w:r>
      <w:r w:rsidR="007A517C">
        <w:t>люди</w:t>
      </w:r>
      <w:r w:rsidRPr="00536C15">
        <w:t xml:space="preserve"> путают вероятность и </w:t>
      </w:r>
      <w:r w:rsidR="008D23CC">
        <w:t>мат</w:t>
      </w:r>
      <w:r w:rsidRPr="00536C15">
        <w:t xml:space="preserve">ожидание, то есть </w:t>
      </w:r>
      <w:r w:rsidR="008D23CC">
        <w:t>шансы</w:t>
      </w:r>
      <w:r w:rsidRPr="00536C15">
        <w:t xml:space="preserve"> и вероятность, умноженную на вознаграждение? Главным образом, потому что многие примеры в обучении приходят из симметричного окружения, подобно броску моне</w:t>
      </w:r>
      <w:r>
        <w:t xml:space="preserve">ты. </w:t>
      </w:r>
      <w:r w:rsidR="008D23CC">
        <w:t xml:space="preserve">Природа риска не всегда основана на нормальной кривой. Асимметричные распределения </w:t>
      </w:r>
      <w:r w:rsidR="008D23CC">
        <w:t>способны скрывать суровую правду жизни.</w:t>
      </w:r>
    </w:p>
    <w:p w14:paraId="081C3E41" w14:textId="0483727E" w:rsidR="006143FB" w:rsidRPr="007C3AAB" w:rsidRDefault="00626490" w:rsidP="009818BB">
      <w:pPr>
        <w:pStyle w:val="3"/>
      </w:pPr>
      <w:r>
        <w:t>Д</w:t>
      </w:r>
      <w:r w:rsidR="006143FB" w:rsidRPr="007C3AAB">
        <w:t>ерев</w:t>
      </w:r>
      <w:r>
        <w:t>о</w:t>
      </w:r>
      <w:r w:rsidR="006143FB" w:rsidRPr="007C3AAB">
        <w:t xml:space="preserve"> решений</w:t>
      </w:r>
    </w:p>
    <w:p w14:paraId="404F0645" w14:textId="04B908E3" w:rsidR="006143FB" w:rsidRDefault="00626490" w:rsidP="008E479D">
      <w:pPr>
        <w:spacing w:after="120" w:line="240" w:lineRule="auto"/>
      </w:pPr>
      <w:r>
        <w:t xml:space="preserve">Если неопределенности подвержено </w:t>
      </w:r>
      <w:r>
        <w:t xml:space="preserve">несколько </w:t>
      </w:r>
      <w:r w:rsidR="008E479D">
        <w:t xml:space="preserve">параметров, </w:t>
      </w:r>
      <w:r w:rsidR="009B0731">
        <w:t xml:space="preserve">вместо матожидания </w:t>
      </w:r>
      <w:r>
        <w:t>можно</w:t>
      </w:r>
      <w:r w:rsidR="008E479D">
        <w:t xml:space="preserve"> </w:t>
      </w:r>
      <w:r w:rsidR="009B0731">
        <w:t>построить</w:t>
      </w:r>
      <w:r w:rsidR="008E479D">
        <w:t xml:space="preserve"> «дерево решений». </w:t>
      </w:r>
      <w:r w:rsidR="006143FB">
        <w:t>Математика метода аналогична</w:t>
      </w:r>
      <w:r w:rsidR="008E479D">
        <w:t>,</w:t>
      </w:r>
      <w:r w:rsidR="006143FB">
        <w:t xml:space="preserve"> </w:t>
      </w:r>
      <w:r w:rsidR="008E479D">
        <w:t>а</w:t>
      </w:r>
      <w:r w:rsidR="006143FB">
        <w:t xml:space="preserve"> итоги представляются не в виде таблицы, а графически. Например, могут рассматриваться два альтернативных бизнес-плана:</w:t>
      </w:r>
    </w:p>
    <w:p w14:paraId="32B05F0E" w14:textId="77777777" w:rsidR="006143FB" w:rsidRDefault="006143FB" w:rsidP="006143FB">
      <w:pPr>
        <w:spacing w:after="120" w:line="240" w:lineRule="auto"/>
      </w:pPr>
      <w:r>
        <w:rPr>
          <w:noProof/>
        </w:rPr>
        <w:drawing>
          <wp:inline distT="0" distB="0" distL="0" distR="0" wp14:anchorId="6BB1EB7F" wp14:editId="23A4617F">
            <wp:extent cx="3843267" cy="925806"/>
            <wp:effectExtent l="19050" t="0" r="4833" b="0"/>
            <wp:docPr id="8" name="Рисунок 7" descr="2. Сравнение двух план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равнение двух планов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271" cy="92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B7BB2" w14:textId="1E729FDD" w:rsidR="006143FB" w:rsidRPr="00626490" w:rsidRDefault="008E479D" w:rsidP="006143FB">
      <w:pPr>
        <w:spacing w:after="120" w:line="240" w:lineRule="auto"/>
      </w:pPr>
      <w:r>
        <w:t>Матожидание</w:t>
      </w:r>
      <w:r w:rsidR="006143FB">
        <w:t xml:space="preserve"> план</w:t>
      </w:r>
      <w:r>
        <w:t>а</w:t>
      </w:r>
      <w:r w:rsidR="006143FB">
        <w:t xml:space="preserve"> Б </w:t>
      </w:r>
      <w:r>
        <w:t>выше</w:t>
      </w:r>
      <w:r w:rsidR="006143FB">
        <w:t xml:space="preserve">. Однако, </w:t>
      </w:r>
      <w:r>
        <w:t>в нем</w:t>
      </w:r>
      <w:r w:rsidR="006143FB">
        <w:t xml:space="preserve"> с вероятностью 30% возможны убытки, в то время как план А </w:t>
      </w:r>
      <w:r>
        <w:t>всегда</w:t>
      </w:r>
      <w:r w:rsidR="006143FB">
        <w:t xml:space="preserve"> генерирует прибыль</w:t>
      </w:r>
      <w:r w:rsidR="007B116A">
        <w:t xml:space="preserve"> (см. рис. 1 выше).</w:t>
      </w:r>
    </w:p>
    <w:p w14:paraId="0F26ED3D" w14:textId="422F854D" w:rsidR="006143FB" w:rsidRPr="009B27EE" w:rsidRDefault="009A52DF" w:rsidP="008E479D">
      <w:pPr>
        <w:pStyle w:val="3"/>
      </w:pPr>
      <w:r>
        <w:t>Меры разброса</w:t>
      </w:r>
    </w:p>
    <w:p w14:paraId="6367E7DE" w14:textId="780CC6D8" w:rsidR="006143FB" w:rsidRPr="00C11E1C" w:rsidRDefault="009A52DF" w:rsidP="006143FB">
      <w:pPr>
        <w:spacing w:after="120" w:line="240" w:lineRule="auto"/>
      </w:pPr>
      <w:r>
        <w:t xml:space="preserve">Помимо центральной меры – среднего значения, неопределенность характеризуют и различные меры разброса </w:t>
      </w:r>
      <w:r w:rsidR="006143FB">
        <w:t>(или кучности)</w:t>
      </w:r>
      <w:r>
        <w:t>.</w:t>
      </w:r>
      <w:r w:rsidR="006143FB">
        <w:t xml:space="preserve"> </w:t>
      </w:r>
      <w:r>
        <w:t>С</w:t>
      </w:r>
      <w:r w:rsidR="006143FB">
        <w:t>тандартное отклонение (оно же среднее квадратичное отклонение):</w:t>
      </w:r>
    </w:p>
    <w:p w14:paraId="405EEAAD" w14:textId="77777777" w:rsidR="006143FB" w:rsidRDefault="006143FB" w:rsidP="006143FB">
      <w:pPr>
        <w:spacing w:after="120" w:line="240" w:lineRule="auto"/>
      </w:pPr>
      <w:r>
        <w:rPr>
          <w:noProof/>
        </w:rPr>
        <w:drawing>
          <wp:inline distT="0" distB="0" distL="0" distR="0" wp14:anchorId="391E90B2" wp14:editId="64A1D2D4">
            <wp:extent cx="1611858" cy="814070"/>
            <wp:effectExtent l="19050" t="0" r="7392" b="0"/>
            <wp:docPr id="15" name="Рисунок 14" descr="Сигма для событий с разной вероятнос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ма для событий с разной вероятностью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36" cy="8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BBCD" w14:textId="30FBC3D0" w:rsidR="006143FB" w:rsidRPr="00D70817" w:rsidRDefault="006143FB" w:rsidP="006143FB">
      <w:pPr>
        <w:spacing w:after="120" w:line="240" w:lineRule="auto"/>
      </w:pPr>
      <w:r>
        <w:t>где</w:t>
      </w:r>
      <w:r w:rsidR="009A52DF" w:rsidRPr="009A52DF">
        <w:rPr>
          <w:rFonts w:ascii="Cambria Math" w:hAnsi="Cambria Math"/>
          <w:i/>
        </w:rPr>
        <w:t xml:space="preserve"> </w:t>
      </w:r>
      <w:r w:rsidR="009A52DF" w:rsidRPr="00D70817">
        <w:rPr>
          <w:rFonts w:ascii="Cambria Math" w:hAnsi="Cambria Math"/>
          <w:i/>
          <w:lang w:val="en-US"/>
        </w:rPr>
        <w:t>i</w:t>
      </w:r>
      <w:r w:rsidR="009A52DF" w:rsidRPr="00412984">
        <w:t xml:space="preserve"> – </w:t>
      </w:r>
      <w:r w:rsidR="009A52DF">
        <w:t xml:space="preserve">число элементов в выборке, </w:t>
      </w:r>
      <w:r w:rsidR="009A52DF" w:rsidRPr="00D70817">
        <w:rPr>
          <w:rFonts w:ascii="Cambria Math" w:hAnsi="Cambria Math"/>
          <w:i/>
        </w:rPr>
        <w:t>х</w:t>
      </w:r>
      <w:r w:rsidR="009A52DF" w:rsidRPr="00D70817">
        <w:rPr>
          <w:rFonts w:ascii="Cambria Math" w:hAnsi="Cambria Math"/>
          <w:i/>
          <w:vertAlign w:val="subscript"/>
          <w:lang w:val="en-US"/>
        </w:rPr>
        <w:t>i</w:t>
      </w:r>
      <w:r w:rsidR="009A52DF" w:rsidRPr="00D70817">
        <w:rPr>
          <w:rFonts w:ascii="Cambria Math" w:hAnsi="Cambria Math"/>
        </w:rPr>
        <w:t xml:space="preserve"> </w:t>
      </w:r>
      <w:r w:rsidR="009A52DF" w:rsidRPr="00412984">
        <w:t xml:space="preserve">– </w:t>
      </w:r>
      <w:r w:rsidR="009A52DF">
        <w:t xml:space="preserve">значение </w:t>
      </w:r>
      <w:r w:rsidR="009A52DF" w:rsidRPr="00D70817">
        <w:rPr>
          <w:rFonts w:ascii="Cambria Math" w:hAnsi="Cambria Math"/>
          <w:i/>
          <w:lang w:val="en-US"/>
        </w:rPr>
        <w:t>i</w:t>
      </w:r>
      <w:r w:rsidR="009A52DF" w:rsidRPr="00412984">
        <w:t>-</w:t>
      </w:r>
      <w:r w:rsidR="009A52DF">
        <w:t xml:space="preserve">го элемента выборки, </w:t>
      </w:r>
      <w:r w:rsidR="009A52DF" w:rsidRPr="00D70817">
        <w:rPr>
          <w:rFonts w:ascii="Cambria Math" w:hAnsi="Cambria Math"/>
          <w:i/>
        </w:rPr>
        <w:t>х̄</w:t>
      </w:r>
      <w:r w:rsidR="009A52DF">
        <w:t xml:space="preserve"> – среднее значение всех элементов выборки</w:t>
      </w:r>
      <w:r w:rsidR="009B0731">
        <w:t>,</w:t>
      </w:r>
      <w:r>
        <w:t xml:space="preserve"> </w:t>
      </w:r>
      <w:r w:rsidRPr="00D70817">
        <w:rPr>
          <w:rFonts w:ascii="Cambria Math" w:hAnsi="Cambria Math"/>
          <w:i/>
          <w:lang w:val="en-US"/>
        </w:rPr>
        <w:t>p</w:t>
      </w:r>
      <w:r w:rsidRPr="00D70817">
        <w:rPr>
          <w:rFonts w:ascii="Cambria Math" w:hAnsi="Cambria Math"/>
          <w:i/>
          <w:vertAlign w:val="subscript"/>
          <w:lang w:val="en-US"/>
        </w:rPr>
        <w:t>i</w:t>
      </w:r>
      <w:r w:rsidRPr="004324D7">
        <w:t xml:space="preserve"> – </w:t>
      </w:r>
      <w:r>
        <w:t xml:space="preserve">вероятность </w:t>
      </w:r>
      <w:r w:rsidRPr="00D70817">
        <w:rPr>
          <w:rFonts w:ascii="Cambria Math" w:hAnsi="Cambria Math"/>
          <w:i/>
          <w:lang w:val="en-US"/>
        </w:rPr>
        <w:t>i</w:t>
      </w:r>
      <w:r w:rsidRPr="00412984">
        <w:t>-</w:t>
      </w:r>
      <w:r>
        <w:t xml:space="preserve">го события </w:t>
      </w:r>
      <w:r w:rsidR="009A52DF">
        <w:t>(</w:t>
      </w:r>
      <w:r>
        <w:t xml:space="preserve">сумма всех </w:t>
      </w:r>
      <w:r w:rsidRPr="00D70817">
        <w:rPr>
          <w:rFonts w:ascii="Cambria Math" w:hAnsi="Cambria Math"/>
          <w:i/>
          <w:lang w:val="en-US"/>
        </w:rPr>
        <w:t>p</w:t>
      </w:r>
      <w:r w:rsidRPr="00D70817">
        <w:rPr>
          <w:rFonts w:ascii="Cambria Math" w:hAnsi="Cambria Math"/>
          <w:i/>
          <w:vertAlign w:val="subscript"/>
          <w:lang w:val="en-US"/>
        </w:rPr>
        <w:t>i</w:t>
      </w:r>
      <w:r>
        <w:t xml:space="preserve"> по выборке равна единице</w:t>
      </w:r>
      <w:r w:rsidR="009A52DF">
        <w:t>)</w:t>
      </w:r>
      <w:r>
        <w:t>.</w:t>
      </w:r>
    </w:p>
    <w:p w14:paraId="6AFA6FDA" w14:textId="0479D862" w:rsidR="006143FB" w:rsidRDefault="006143FB" w:rsidP="006143FB">
      <w:pPr>
        <w:spacing w:after="120" w:line="240" w:lineRule="auto"/>
      </w:pPr>
      <w:r>
        <w:t xml:space="preserve">Для </w:t>
      </w:r>
      <w:r w:rsidR="009A52DF">
        <w:t>сравнени</w:t>
      </w:r>
      <w:r w:rsidR="009A52DF">
        <w:t>я</w:t>
      </w:r>
      <w:r w:rsidR="009A52DF">
        <w:t xml:space="preserve"> </w:t>
      </w:r>
      <w:r w:rsidR="009A52DF">
        <w:t xml:space="preserve">нескольких выборок </w:t>
      </w:r>
      <w:r>
        <w:t xml:space="preserve">используют </w:t>
      </w:r>
      <w:r w:rsidR="009B0731">
        <w:t>коэффициент вариации</w:t>
      </w:r>
      <w:r w:rsidR="009B0731">
        <w:t xml:space="preserve">, равный </w:t>
      </w:r>
      <w:r>
        <w:t>стандартно</w:t>
      </w:r>
      <w:r w:rsidR="009B0731">
        <w:t>му</w:t>
      </w:r>
      <w:r>
        <w:t xml:space="preserve"> отклонени</w:t>
      </w:r>
      <w:r w:rsidR="009B0731">
        <w:t>ю</w:t>
      </w:r>
      <w:r>
        <w:t>, нормированно</w:t>
      </w:r>
      <w:r w:rsidR="009B0731">
        <w:t>му</w:t>
      </w:r>
      <w:r>
        <w:t xml:space="preserve"> на среднее значение:</w:t>
      </w:r>
    </w:p>
    <w:p w14:paraId="24A1E9DF" w14:textId="77777777" w:rsidR="006143FB" w:rsidRDefault="006143FB" w:rsidP="006143FB">
      <w:pPr>
        <w:spacing w:after="120" w:line="240" w:lineRule="auto"/>
        <w:rPr>
          <w:rFonts w:ascii="Cambria Math" w:hAnsi="Cambria Math"/>
        </w:rPr>
      </w:pPr>
      <w:r w:rsidRPr="0018192C">
        <w:rPr>
          <w:rFonts w:ascii="Cambria Math" w:hAnsi="Cambria Math"/>
          <w:sz w:val="24"/>
          <w:lang w:val="en-US"/>
        </w:rPr>
        <w:t>V</w:t>
      </w:r>
      <w:r w:rsidRPr="006143FB"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σ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</w:rPr>
              <m:t>̄</m:t>
            </m:r>
          </m:den>
        </m:f>
      </m:oMath>
      <w:r w:rsidRPr="006143FB">
        <w:rPr>
          <w:rFonts w:ascii="Cambria Math" w:hAnsi="Cambria Math"/>
        </w:rPr>
        <w:t xml:space="preserve"> *100%</w:t>
      </w:r>
    </w:p>
    <w:p w14:paraId="3FFE073F" w14:textId="2683ACAB" w:rsidR="006143FB" w:rsidRDefault="006143FB" w:rsidP="006143FB">
      <w:pPr>
        <w:spacing w:after="120" w:line="240" w:lineRule="auto"/>
      </w:pPr>
      <w:r>
        <w:t>Чем меньше коэффициент вариации, тем более однородной является выборка</w:t>
      </w:r>
      <w:r w:rsidR="009A52DF">
        <w:t>, тем меньше риски. П</w:t>
      </w:r>
      <w:r w:rsidR="009A52DF">
        <w:t>ри анализе финансовых инструментов</w:t>
      </w:r>
      <w:r w:rsidR="009A52DF">
        <w:t xml:space="preserve"> с</w:t>
      </w:r>
      <w:r>
        <w:t xml:space="preserve">тандартное отклонение </w:t>
      </w:r>
      <w:r w:rsidR="009A52DF">
        <w:t>н</w:t>
      </w:r>
      <w:r w:rsidR="009A52DF">
        <w:t xml:space="preserve">ормированное на период времени </w:t>
      </w:r>
      <w:r>
        <w:t xml:space="preserve">выступает там под названием </w:t>
      </w:r>
      <w:hyperlink r:id="rId17" w:history="1">
        <w:r w:rsidRPr="0018192C">
          <w:rPr>
            <w:rStyle w:val="a9"/>
          </w:rPr>
          <w:t>волати</w:t>
        </w:r>
        <w:r w:rsidRPr="0018192C">
          <w:rPr>
            <w:rStyle w:val="a9"/>
          </w:rPr>
          <w:t>л</w:t>
        </w:r>
        <w:r w:rsidRPr="0018192C">
          <w:rPr>
            <w:rStyle w:val="a9"/>
          </w:rPr>
          <w:t>ьность</w:t>
        </w:r>
      </w:hyperlink>
      <w:r>
        <w:t>.</w:t>
      </w:r>
    </w:p>
    <w:p w14:paraId="0F68CB50" w14:textId="5B23E429" w:rsidR="006143FB" w:rsidRPr="00C87A2D" w:rsidRDefault="000865A9" w:rsidP="00A31731">
      <w:pPr>
        <w:pStyle w:val="3"/>
      </w:pPr>
      <w:r>
        <w:lastRenderedPageBreak/>
        <w:t>Теория игр</w:t>
      </w:r>
    </w:p>
    <w:p w14:paraId="60787DD6" w14:textId="7FF73C5D" w:rsidR="00B50839" w:rsidRDefault="006143FB" w:rsidP="00B50839">
      <w:pPr>
        <w:spacing w:after="120" w:line="240" w:lineRule="auto"/>
      </w:pPr>
      <w:r>
        <w:t xml:space="preserve">Принятие решения основывается не только на </w:t>
      </w:r>
      <w:r w:rsidRPr="00E36C37">
        <w:t>вычислени</w:t>
      </w:r>
      <w:r>
        <w:t xml:space="preserve">ях. </w:t>
      </w:r>
      <w:r w:rsidR="000865A9">
        <w:t>Когда л</w:t>
      </w:r>
      <w:r>
        <w:t>ица, принимающие решения, сталкиваются с выбором между вариантами, они ищут компромисс между риск</w:t>
      </w:r>
      <w:r w:rsidR="000865A9">
        <w:t>ом</w:t>
      </w:r>
      <w:r>
        <w:t xml:space="preserve"> и </w:t>
      </w:r>
      <w:r w:rsidR="000865A9">
        <w:t>доходностью</w:t>
      </w:r>
      <w:r>
        <w:t>. Поиск такого компромисса затрагивает вопросы поведенческого характера</w:t>
      </w:r>
      <w:r w:rsidR="009B0731">
        <w:t>, и основаны на предпочтениях</w:t>
      </w:r>
      <w:r>
        <w:t>.</w:t>
      </w:r>
      <w:r w:rsidR="00B50839">
        <w:t xml:space="preserve"> </w:t>
      </w:r>
      <w:r w:rsidR="000865A9">
        <w:t>Например, розничный</w:t>
      </w:r>
      <w:r>
        <w:t xml:space="preserve"> </w:t>
      </w:r>
      <w:r w:rsidR="000865A9">
        <w:t>т</w:t>
      </w:r>
      <w:r>
        <w:t>орговец</w:t>
      </w:r>
      <w:r w:rsidR="000865A9">
        <w:t>, обладая</w:t>
      </w:r>
      <w:r>
        <w:t xml:space="preserve"> </w:t>
      </w:r>
      <w:r w:rsidR="000865A9">
        <w:t>ограниченной суммой</w:t>
      </w:r>
      <w:r w:rsidR="000865A9">
        <w:t xml:space="preserve">, может купить </w:t>
      </w:r>
      <w:r>
        <w:t xml:space="preserve">у оптовика только один вид фруктов. </w:t>
      </w:r>
      <w:r w:rsidR="000865A9">
        <w:t>Т</w:t>
      </w:r>
      <w:r>
        <w:t xml:space="preserve">орговля </w:t>
      </w:r>
      <w:r w:rsidR="00B50839">
        <w:t>с равн</w:t>
      </w:r>
      <w:r w:rsidR="00B50839">
        <w:t>ой</w:t>
      </w:r>
      <w:r w:rsidR="00B50839">
        <w:t xml:space="preserve"> вероятность</w:t>
      </w:r>
      <w:r w:rsidR="00B50839">
        <w:t xml:space="preserve">ю </w:t>
      </w:r>
      <w:r>
        <w:t>может пойти по одному из сценариев</w:t>
      </w:r>
      <w:r w:rsidR="00B50839">
        <w:t>. К</w:t>
      </w:r>
      <w:r w:rsidR="00B50839">
        <w:t>ак отношение торговца к риску повлияет на выбор им фруктов</w:t>
      </w:r>
      <w:r w:rsidR="00B50839">
        <w:t>?</w:t>
      </w:r>
    </w:p>
    <w:p w14:paraId="20112C0D" w14:textId="77777777" w:rsidR="006143FB" w:rsidRDefault="006143FB" w:rsidP="006143FB">
      <w:pPr>
        <w:spacing w:after="120" w:line="240" w:lineRule="auto"/>
      </w:pPr>
      <w:r>
        <w:rPr>
          <w:noProof/>
        </w:rPr>
        <w:drawing>
          <wp:inline distT="0" distB="0" distL="0" distR="0" wp14:anchorId="74754F89" wp14:editId="537927DD">
            <wp:extent cx="3712343" cy="1071544"/>
            <wp:effectExtent l="19050" t="0" r="2407" b="0"/>
            <wp:docPr id="21" name="Рисунок 20" descr="6. Торговля фрукт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Торговля фруктами.bmp"/>
                    <pic:cNvPicPr/>
                  </pic:nvPicPr>
                  <pic:blipFill>
                    <a:blip r:embed="rId18" cstate="print"/>
                    <a:srcRect t="4571" b="5698"/>
                    <a:stretch>
                      <a:fillRect/>
                    </a:stretch>
                  </pic:blipFill>
                  <pic:spPr>
                    <a:xfrm>
                      <a:off x="0" y="0"/>
                      <a:ext cx="3712343" cy="107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41634" w14:textId="3B4DBC38" w:rsidR="006143FB" w:rsidRPr="00DE7100" w:rsidRDefault="006143FB" w:rsidP="006143FB">
      <w:pPr>
        <w:spacing w:after="120" w:line="240" w:lineRule="auto"/>
      </w:pPr>
      <w:r w:rsidRPr="00DE7100">
        <w:rPr>
          <w:i/>
        </w:rPr>
        <w:t>Метод «максимин».</w:t>
      </w:r>
      <w:r w:rsidRPr="00DE7100">
        <w:t xml:space="preserve"> </w:t>
      </w:r>
      <w:r w:rsidR="00B50839">
        <w:t>Р</w:t>
      </w:r>
      <w:r w:rsidRPr="00DE7100">
        <w:t>ассматриваются только наихудшие исход</w:t>
      </w:r>
      <w:r w:rsidR="009B0731">
        <w:t>ы</w:t>
      </w:r>
      <w:r w:rsidRPr="00DE7100">
        <w:t xml:space="preserve"> в каждом сценарии. Если наш торговец не склонен к риску, он предпочтет апельсины – МАКСИмальный результат при МИНимальном (наихудшем) сценарии.</w:t>
      </w:r>
    </w:p>
    <w:p w14:paraId="4814B1F1" w14:textId="52638CC5" w:rsidR="006143FB" w:rsidRDefault="006143FB" w:rsidP="006143FB">
      <w:pPr>
        <w:spacing w:after="120" w:line="240" w:lineRule="auto"/>
      </w:pPr>
      <w:r w:rsidRPr="00DE7100">
        <w:rPr>
          <w:i/>
        </w:rPr>
        <w:t>Метод «максимакс».</w:t>
      </w:r>
      <w:r w:rsidRPr="00DE7100">
        <w:t xml:space="preserve"> А в этом случае упор делается на МАКСИмальный результат при МАКсимальном (наилучшем) сценарии. Если наш торговец склонен к риску, он будет надеяться на хороший сценарий, и выберет груши.</w:t>
      </w:r>
    </w:p>
    <w:p w14:paraId="5CFB375A" w14:textId="1DC7B6D1" w:rsidR="006143FB" w:rsidRPr="00941798" w:rsidRDefault="00B50839" w:rsidP="00B50839">
      <w:pPr>
        <w:pStyle w:val="3"/>
      </w:pPr>
      <w:r>
        <w:t>М</w:t>
      </w:r>
      <w:r w:rsidR="006143FB" w:rsidRPr="00941798">
        <w:t>етод Монте-Карло</w:t>
      </w:r>
    </w:p>
    <w:p w14:paraId="2C875881" w14:textId="0E414CD5" w:rsidR="006143FB" w:rsidRDefault="001C2100" w:rsidP="006143FB">
      <w:pPr>
        <w:spacing w:after="120" w:line="240" w:lineRule="auto"/>
      </w:pPr>
      <w:r>
        <w:t>М</w:t>
      </w:r>
      <w:r w:rsidR="006143FB">
        <w:t xml:space="preserve">етод </w:t>
      </w:r>
      <w:r>
        <w:t>р</w:t>
      </w:r>
      <w:r w:rsidR="006143FB">
        <w:t>азви</w:t>
      </w:r>
      <w:r>
        <w:t>вает</w:t>
      </w:r>
      <w:r w:rsidR="006143FB">
        <w:t xml:space="preserve"> подход</w:t>
      </w:r>
      <w:r>
        <w:t>ы</w:t>
      </w:r>
      <w:r w:rsidR="006143FB">
        <w:t>, оценивающи</w:t>
      </w:r>
      <w:r>
        <w:t>е</w:t>
      </w:r>
      <w:r w:rsidR="006143FB">
        <w:t xml:space="preserve"> вероятность исходов. На первом этапе </w:t>
      </w:r>
      <w:r>
        <w:t>строят</w:t>
      </w:r>
      <w:r w:rsidR="006143FB">
        <w:t xml:space="preserve"> модель, в которой зависимая переменная связана с влияющими переменными</w:t>
      </w:r>
      <w:r w:rsidR="007B116A">
        <w:t xml:space="preserve">. </w:t>
      </w:r>
      <w:r w:rsidR="007B116A" w:rsidRPr="00981BB6">
        <w:t>Годовая экономия (зависимая переменная) есть функция трех видов экономии и объема производства (</w:t>
      </w:r>
      <w:r w:rsidR="009B0731">
        <w:t>всего</w:t>
      </w:r>
      <w:r w:rsidR="007B116A" w:rsidRPr="00981BB6">
        <w:t xml:space="preserve"> четырех влияющих переменных)</w:t>
      </w:r>
      <w:r w:rsidR="007B116A">
        <w:t>:</w:t>
      </w:r>
    </w:p>
    <w:p w14:paraId="5F5B1A6A" w14:textId="77777777" w:rsidR="006143FB" w:rsidRPr="00981BB6" w:rsidRDefault="006143FB" w:rsidP="006143FB">
      <w:pPr>
        <w:spacing w:after="120" w:line="240" w:lineRule="auto"/>
      </w:pPr>
      <w:r w:rsidRPr="00981BB6">
        <w:rPr>
          <w:noProof/>
        </w:rPr>
        <w:drawing>
          <wp:inline distT="0" distB="0" distL="0" distR="0" wp14:anchorId="69FB351B" wp14:editId="606943C1">
            <wp:extent cx="3731260" cy="1525078"/>
            <wp:effectExtent l="0" t="0" r="2540" b="0"/>
            <wp:docPr id="23" name="Рисунок 3" descr="002. Исход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 Исходные данные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440" cy="15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A3BDD" w14:textId="0B5732FC" w:rsidR="006143FB" w:rsidRPr="00EA1A98" w:rsidRDefault="006143FB" w:rsidP="006143FB">
      <w:pPr>
        <w:spacing w:after="120" w:line="240" w:lineRule="auto"/>
      </w:pPr>
      <w:r>
        <w:t xml:space="preserve">На втором этапе задаются правила изменения влияющих переменных. Например, экономия на трудозатратах подчиняется нормальному распределению со средним </w:t>
      </w:r>
      <w:r w:rsidRPr="00EA1A98">
        <w:t>$3</w:t>
      </w:r>
      <w:r>
        <w:t xml:space="preserve"> на изделие, и стандартным отклонением </w:t>
      </w:r>
      <w:r w:rsidRPr="00406588">
        <w:t>$</w:t>
      </w:r>
      <w:r>
        <w:t>3,5. Результат моделирования – распределение вероятности годовой экономии</w:t>
      </w:r>
      <w:r w:rsidR="001C2100">
        <w:t>:</w:t>
      </w:r>
    </w:p>
    <w:p w14:paraId="77C75B22" w14:textId="77777777" w:rsidR="006143FB" w:rsidRPr="00EA1A98" w:rsidRDefault="006143FB" w:rsidP="006143FB">
      <w:pPr>
        <w:spacing w:after="120" w:line="240" w:lineRule="auto"/>
      </w:pPr>
      <w:r w:rsidRPr="00EA1A98">
        <w:rPr>
          <w:noProof/>
        </w:rPr>
        <w:drawing>
          <wp:inline distT="0" distB="0" distL="0" distR="0" wp14:anchorId="2BD506C2" wp14:editId="26711BE4">
            <wp:extent cx="3372102" cy="2449147"/>
            <wp:effectExtent l="19050" t="0" r="0" b="0"/>
            <wp:docPr id="26" name="Рисунок 12" descr="007. Результаты моделирования - распределение годовой эконом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 Результаты моделирования - распределение годовой экономии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39" cy="244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A98">
        <w:t xml:space="preserve"> </w:t>
      </w:r>
    </w:p>
    <w:p w14:paraId="15FFB066" w14:textId="77777777" w:rsidR="006143FB" w:rsidRPr="00941798" w:rsidRDefault="006143FB" w:rsidP="001C2100">
      <w:pPr>
        <w:pStyle w:val="3"/>
      </w:pPr>
      <w:r>
        <w:lastRenderedPageBreak/>
        <w:t>А</w:t>
      </w:r>
      <w:r w:rsidRPr="00406588">
        <w:t>нализ чувствительности</w:t>
      </w:r>
    </w:p>
    <w:p w14:paraId="0D1EF527" w14:textId="7CA91A1C" w:rsidR="006143FB" w:rsidRPr="00406588" w:rsidRDefault="001C2100" w:rsidP="006143FB">
      <w:pPr>
        <w:spacing w:after="120" w:line="240" w:lineRule="auto"/>
      </w:pPr>
      <w:r>
        <w:t>Оценивает</w:t>
      </w:r>
      <w:r w:rsidR="006143FB">
        <w:t xml:space="preserve"> неопределенност</w:t>
      </w:r>
      <w:r>
        <w:t>ь,</w:t>
      </w:r>
      <w:r w:rsidR="006143FB">
        <w:t xml:space="preserve"> </w:t>
      </w:r>
      <w:r>
        <w:t>изучая</w:t>
      </w:r>
      <w:r w:rsidR="006143FB">
        <w:t xml:space="preserve">, как влияет изменение ключевых переменных на </w:t>
      </w:r>
      <w:r>
        <w:t>ожидаемый</w:t>
      </w:r>
      <w:r w:rsidR="006143FB">
        <w:t xml:space="preserve"> результат. Анализ затраты–объем–прибыль</w:t>
      </w:r>
      <w:r>
        <w:t xml:space="preserve"> и </w:t>
      </w:r>
      <w:hyperlink r:id="rId21" w:history="1">
        <w:r w:rsidRPr="001C2100">
          <w:rPr>
            <w:rStyle w:val="a9"/>
          </w:rPr>
          <w:t>анализ безубыточности</w:t>
        </w:r>
      </w:hyperlink>
      <w:r>
        <w:t xml:space="preserve"> </w:t>
      </w:r>
      <w:r w:rsidR="006143FB">
        <w:t>явля</w:t>
      </w:r>
      <w:r>
        <w:t>ю</w:t>
      </w:r>
      <w:r w:rsidR="006143FB">
        <w:t>тся разновидност</w:t>
      </w:r>
      <w:r w:rsidR="007B116A">
        <w:t>ями</w:t>
      </w:r>
      <w:r w:rsidR="006143FB">
        <w:t xml:space="preserve"> анализа чувствительности, поскольку показыва</w:t>
      </w:r>
      <w:r w:rsidR="007B116A">
        <w:t>ю</w:t>
      </w:r>
      <w:r w:rsidR="006143FB">
        <w:t>т, как меняется прибыль при изменении уровня продаж.</w:t>
      </w:r>
    </w:p>
    <w:p w14:paraId="77AF8034" w14:textId="77777777" w:rsidR="006143FB" w:rsidRPr="00941798" w:rsidRDefault="006143FB" w:rsidP="007B116A">
      <w:pPr>
        <w:pStyle w:val="3"/>
      </w:pPr>
      <w:r w:rsidRPr="00697B10">
        <w:t>Измерения для уменьшения неопределенности</w:t>
      </w:r>
    </w:p>
    <w:p w14:paraId="22D63D15" w14:textId="5C0C8E34" w:rsidR="006143FB" w:rsidRDefault="007B116A" w:rsidP="006143FB">
      <w:pPr>
        <w:spacing w:after="120" w:line="240" w:lineRule="auto"/>
      </w:pPr>
      <w:r>
        <w:t>П</w:t>
      </w:r>
      <w:r w:rsidR="006143FB">
        <w:t xml:space="preserve">очти всегда можно провести измерения, позволяющие сократить первоначальную неопределенность в точке принятия решения. Что и как измерять, а также оправданы ли расходы на проведение измерений изучает </w:t>
      </w:r>
      <w:hyperlink r:id="rId22" w:history="1">
        <w:r w:rsidR="00FA7B49" w:rsidRPr="007E01B7">
          <w:rPr>
            <w:rStyle w:val="a9"/>
          </w:rPr>
          <w:t>Прикладная информационная экономика</w:t>
        </w:r>
      </w:hyperlink>
      <w:r w:rsidR="006143FB">
        <w:t>.</w:t>
      </w:r>
    </w:p>
    <w:p w14:paraId="0FF22194" w14:textId="77777777" w:rsidR="006143FB" w:rsidRPr="007E01B7" w:rsidRDefault="006143FB" w:rsidP="007B116A">
      <w:pPr>
        <w:spacing w:after="120" w:line="240" w:lineRule="auto"/>
        <w:ind w:left="708"/>
        <w:rPr>
          <w:i/>
        </w:rPr>
      </w:pPr>
      <w:r w:rsidRPr="00EB2796">
        <w:t>Измерение – один из основных инстинктов человека, однако этот инстинкт подавляется в условиях, когда люди предпочитают создавать комитеты и добиваться консенсуса вместо того, чтобы делать простые наблюдения…</w:t>
      </w:r>
      <w:r>
        <w:br/>
      </w:r>
      <w:r w:rsidRPr="007E01B7">
        <w:rPr>
          <w:i/>
        </w:rPr>
        <w:t>Дуглас Хаббард</w:t>
      </w:r>
    </w:p>
    <w:p w14:paraId="1AC7F87E" w14:textId="77777777" w:rsidR="006E5881" w:rsidRDefault="006E5881" w:rsidP="006E5881">
      <w:pPr>
        <w:pStyle w:val="3"/>
        <w:spacing w:before="0" w:after="120" w:line="240" w:lineRule="auto"/>
      </w:pPr>
      <w:r>
        <w:t>Литература</w:t>
      </w:r>
    </w:p>
    <w:p w14:paraId="10406078" w14:textId="4195C1DB" w:rsidR="008D23CC" w:rsidRDefault="008D23CC" w:rsidP="006143FB">
      <w:pPr>
        <w:spacing w:after="120" w:line="240" w:lineRule="auto"/>
      </w:pPr>
      <w:r w:rsidRPr="008D23CC">
        <w:t>Нассим Талеб Одураченные случайностью. Скрытая роль шанса в бизнесе и обществе. – М.: Манн, Иванов и Фербер, 2011. – 320 с.</w:t>
      </w:r>
      <w:r>
        <w:t xml:space="preserve"> Конспект: </w:t>
      </w:r>
      <w:hyperlink r:id="rId23" w:history="1">
        <w:r w:rsidRPr="00A82526">
          <w:rPr>
            <w:rStyle w:val="a9"/>
          </w:rPr>
          <w:t>http://baguzin.ru/wp/?p=876</w:t>
        </w:r>
      </w:hyperlink>
    </w:p>
    <w:p w14:paraId="00E366E2" w14:textId="3B964E23" w:rsidR="007B116A" w:rsidRDefault="007B116A" w:rsidP="006143FB">
      <w:pPr>
        <w:spacing w:after="120" w:line="240" w:lineRule="auto"/>
      </w:pPr>
      <w:r w:rsidRPr="007B116A">
        <w:t>Дуглас Хаббард. Как измерить всё, что угодно. Оценка стоимости нематериального в бизнесе. – М.: Олимп-Бизнес, 2009. – 320 с.</w:t>
      </w:r>
      <w:r>
        <w:t xml:space="preserve"> Конспект: </w:t>
      </w:r>
      <w:hyperlink r:id="rId24" w:history="1">
        <w:r w:rsidR="00FA7B49" w:rsidRPr="00A82526">
          <w:rPr>
            <w:rStyle w:val="a9"/>
          </w:rPr>
          <w:t>http://baguzin.ru/wp/?p=2511</w:t>
        </w:r>
      </w:hyperlink>
    </w:p>
    <w:p w14:paraId="7CFE87B3" w14:textId="03AF8DE6" w:rsidR="007B116A" w:rsidRDefault="007B116A" w:rsidP="006143FB">
      <w:pPr>
        <w:spacing w:after="120" w:line="240" w:lineRule="auto"/>
      </w:pPr>
      <w:r w:rsidRPr="007B116A">
        <w:t>Использование метода Монте-Карло для расчета риска</w:t>
      </w:r>
      <w:r>
        <w:t xml:space="preserve">: </w:t>
      </w:r>
      <w:hyperlink r:id="rId25" w:history="1">
        <w:r w:rsidRPr="00A82526">
          <w:rPr>
            <w:rStyle w:val="a9"/>
          </w:rPr>
          <w:t>http://baguzin.ru/wp/?p=3467</w:t>
        </w:r>
      </w:hyperlink>
    </w:p>
    <w:p w14:paraId="023AB578" w14:textId="7197011D" w:rsidR="006143FB" w:rsidRDefault="007B116A" w:rsidP="006143FB">
      <w:pPr>
        <w:spacing w:after="120" w:line="240" w:lineRule="auto"/>
      </w:pPr>
      <w:r w:rsidRPr="007B116A">
        <w:t>Моделирование методом Монте-Карло в Crystal Ball для Excel</w:t>
      </w:r>
      <w:r>
        <w:t xml:space="preserve">: </w:t>
      </w:r>
      <w:hyperlink r:id="rId26" w:history="1">
        <w:r w:rsidRPr="00A82526">
          <w:rPr>
            <w:rStyle w:val="a9"/>
          </w:rPr>
          <w:t>http://baguzin.ru/wp/?p=3485</w:t>
        </w:r>
      </w:hyperlink>
    </w:p>
    <w:p w14:paraId="0D1DFA3A" w14:textId="59938832" w:rsidR="008D23CC" w:rsidRDefault="007B116A" w:rsidP="006143FB">
      <w:pPr>
        <w:spacing w:after="120" w:line="240" w:lineRule="auto"/>
      </w:pPr>
      <w:r w:rsidRPr="00FA7B49">
        <w:t>Анализ чувствительности в Excel</w:t>
      </w:r>
      <w:r w:rsidR="00FA7B49">
        <w:t xml:space="preserve">: </w:t>
      </w:r>
      <w:hyperlink r:id="rId27" w:history="1">
        <w:r w:rsidR="00FA7B49" w:rsidRPr="00A82526">
          <w:rPr>
            <w:rStyle w:val="a9"/>
          </w:rPr>
          <w:t>http://baguzin.ru/wp/?p=276</w:t>
        </w:r>
      </w:hyperlink>
    </w:p>
    <w:sectPr w:rsidR="008D23CC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FE8E" w14:textId="77777777" w:rsidR="00E435DD" w:rsidRDefault="00E435DD" w:rsidP="000475CD">
      <w:pPr>
        <w:spacing w:after="0" w:line="240" w:lineRule="auto"/>
      </w:pPr>
      <w:r>
        <w:separator/>
      </w:r>
    </w:p>
  </w:endnote>
  <w:endnote w:type="continuationSeparator" w:id="0">
    <w:p w14:paraId="3261CD4D" w14:textId="77777777" w:rsidR="00E435DD" w:rsidRDefault="00E435DD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CC1D" w14:textId="77777777" w:rsidR="00E435DD" w:rsidRDefault="00E435DD" w:rsidP="000475CD">
      <w:pPr>
        <w:spacing w:after="0" w:line="240" w:lineRule="auto"/>
      </w:pPr>
      <w:r>
        <w:separator/>
      </w:r>
    </w:p>
  </w:footnote>
  <w:footnote w:type="continuationSeparator" w:id="0">
    <w:p w14:paraId="143E4C4E" w14:textId="77777777" w:rsidR="00E435DD" w:rsidRDefault="00E435DD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A2355"/>
    <w:multiLevelType w:val="hybridMultilevel"/>
    <w:tmpl w:val="795AE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A2693"/>
    <w:multiLevelType w:val="hybridMultilevel"/>
    <w:tmpl w:val="10A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C2C86"/>
    <w:multiLevelType w:val="hybridMultilevel"/>
    <w:tmpl w:val="846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368CE"/>
    <w:multiLevelType w:val="hybridMultilevel"/>
    <w:tmpl w:val="EF1C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45B17"/>
    <w:multiLevelType w:val="hybridMultilevel"/>
    <w:tmpl w:val="8624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17D7"/>
    <w:multiLevelType w:val="hybridMultilevel"/>
    <w:tmpl w:val="A95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76391"/>
    <w:multiLevelType w:val="hybridMultilevel"/>
    <w:tmpl w:val="FDD8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A5170"/>
    <w:multiLevelType w:val="hybridMultilevel"/>
    <w:tmpl w:val="D49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1282C"/>
    <w:multiLevelType w:val="hybridMultilevel"/>
    <w:tmpl w:val="AF94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427D8C"/>
    <w:multiLevelType w:val="hybridMultilevel"/>
    <w:tmpl w:val="7FC295B4"/>
    <w:lvl w:ilvl="0" w:tplc="09C050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21FC3"/>
    <w:multiLevelType w:val="hybridMultilevel"/>
    <w:tmpl w:val="5A9A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83276"/>
    <w:multiLevelType w:val="hybridMultilevel"/>
    <w:tmpl w:val="BBECD778"/>
    <w:lvl w:ilvl="0" w:tplc="8EB8CF3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9"/>
  </w:num>
  <w:num w:numId="7">
    <w:abstractNumId w:val="45"/>
  </w:num>
  <w:num w:numId="8">
    <w:abstractNumId w:val="6"/>
  </w:num>
  <w:num w:numId="9">
    <w:abstractNumId w:val="17"/>
  </w:num>
  <w:num w:numId="10">
    <w:abstractNumId w:val="35"/>
  </w:num>
  <w:num w:numId="11">
    <w:abstractNumId w:val="5"/>
  </w:num>
  <w:num w:numId="12">
    <w:abstractNumId w:val="22"/>
  </w:num>
  <w:num w:numId="13">
    <w:abstractNumId w:val="24"/>
  </w:num>
  <w:num w:numId="14">
    <w:abstractNumId w:val="10"/>
  </w:num>
  <w:num w:numId="15">
    <w:abstractNumId w:val="3"/>
  </w:num>
  <w:num w:numId="16">
    <w:abstractNumId w:val="46"/>
  </w:num>
  <w:num w:numId="17">
    <w:abstractNumId w:val="7"/>
  </w:num>
  <w:num w:numId="18">
    <w:abstractNumId w:val="31"/>
  </w:num>
  <w:num w:numId="19">
    <w:abstractNumId w:val="39"/>
  </w:num>
  <w:num w:numId="20">
    <w:abstractNumId w:val="30"/>
  </w:num>
  <w:num w:numId="21">
    <w:abstractNumId w:val="27"/>
  </w:num>
  <w:num w:numId="22">
    <w:abstractNumId w:val="40"/>
  </w:num>
  <w:num w:numId="23">
    <w:abstractNumId w:val="0"/>
  </w:num>
  <w:num w:numId="24">
    <w:abstractNumId w:val="47"/>
  </w:num>
  <w:num w:numId="25">
    <w:abstractNumId w:val="14"/>
  </w:num>
  <w:num w:numId="26">
    <w:abstractNumId w:val="4"/>
  </w:num>
  <w:num w:numId="27">
    <w:abstractNumId w:val="13"/>
  </w:num>
  <w:num w:numId="28">
    <w:abstractNumId w:val="21"/>
  </w:num>
  <w:num w:numId="29">
    <w:abstractNumId w:val="12"/>
  </w:num>
  <w:num w:numId="30">
    <w:abstractNumId w:val="34"/>
  </w:num>
  <w:num w:numId="31">
    <w:abstractNumId w:val="43"/>
  </w:num>
  <w:num w:numId="32">
    <w:abstractNumId w:val="37"/>
  </w:num>
  <w:num w:numId="33">
    <w:abstractNumId w:val="36"/>
  </w:num>
  <w:num w:numId="34">
    <w:abstractNumId w:val="44"/>
  </w:num>
  <w:num w:numId="35">
    <w:abstractNumId w:val="11"/>
  </w:num>
  <w:num w:numId="36">
    <w:abstractNumId w:val="41"/>
  </w:num>
  <w:num w:numId="37">
    <w:abstractNumId w:val="32"/>
  </w:num>
  <w:num w:numId="38">
    <w:abstractNumId w:val="20"/>
  </w:num>
  <w:num w:numId="39">
    <w:abstractNumId w:val="26"/>
  </w:num>
  <w:num w:numId="40">
    <w:abstractNumId w:val="42"/>
  </w:num>
  <w:num w:numId="41">
    <w:abstractNumId w:val="18"/>
  </w:num>
  <w:num w:numId="42">
    <w:abstractNumId w:val="2"/>
  </w:num>
  <w:num w:numId="43">
    <w:abstractNumId w:val="38"/>
  </w:num>
  <w:num w:numId="44">
    <w:abstractNumId w:val="28"/>
  </w:num>
  <w:num w:numId="45">
    <w:abstractNumId w:val="15"/>
  </w:num>
  <w:num w:numId="46">
    <w:abstractNumId w:val="23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524A"/>
    <w:rsid w:val="0006767F"/>
    <w:rsid w:val="00081D4C"/>
    <w:rsid w:val="00081D95"/>
    <w:rsid w:val="000827BF"/>
    <w:rsid w:val="00084554"/>
    <w:rsid w:val="000865A9"/>
    <w:rsid w:val="00086E8D"/>
    <w:rsid w:val="00087130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4E9E"/>
    <w:rsid w:val="001C7059"/>
    <w:rsid w:val="001C75AA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6573"/>
    <w:rsid w:val="003212AA"/>
    <w:rsid w:val="003213AE"/>
    <w:rsid w:val="00322D90"/>
    <w:rsid w:val="00324923"/>
    <w:rsid w:val="00325505"/>
    <w:rsid w:val="00332B03"/>
    <w:rsid w:val="00335B8C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42B1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7B19"/>
    <w:rsid w:val="005B1632"/>
    <w:rsid w:val="005B6151"/>
    <w:rsid w:val="005C5D83"/>
    <w:rsid w:val="005C7B3A"/>
    <w:rsid w:val="005D0A32"/>
    <w:rsid w:val="005D2460"/>
    <w:rsid w:val="005E425B"/>
    <w:rsid w:val="005E6180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80196F"/>
    <w:rsid w:val="00803167"/>
    <w:rsid w:val="0080316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4277"/>
    <w:rsid w:val="00896D57"/>
    <w:rsid w:val="008A10CB"/>
    <w:rsid w:val="008A6D98"/>
    <w:rsid w:val="008A7F6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91613"/>
    <w:rsid w:val="009A52DF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1731"/>
    <w:rsid w:val="00A3707D"/>
    <w:rsid w:val="00A422CE"/>
    <w:rsid w:val="00A447AC"/>
    <w:rsid w:val="00A46497"/>
    <w:rsid w:val="00A60EEF"/>
    <w:rsid w:val="00A6110D"/>
    <w:rsid w:val="00A62CF2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0839"/>
    <w:rsid w:val="00B53AAE"/>
    <w:rsid w:val="00B56055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F5289"/>
    <w:rsid w:val="00C07B7B"/>
    <w:rsid w:val="00C147DB"/>
    <w:rsid w:val="00C21341"/>
    <w:rsid w:val="00C21F79"/>
    <w:rsid w:val="00C32E8B"/>
    <w:rsid w:val="00C363B1"/>
    <w:rsid w:val="00C417D9"/>
    <w:rsid w:val="00C5315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90383"/>
    <w:rsid w:val="00C90EEC"/>
    <w:rsid w:val="00C97019"/>
    <w:rsid w:val="00C97443"/>
    <w:rsid w:val="00CA131A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435DD"/>
    <w:rsid w:val="00E50B28"/>
    <w:rsid w:val="00E62A4F"/>
    <w:rsid w:val="00E62AFD"/>
    <w:rsid w:val="00E62E3F"/>
    <w:rsid w:val="00E64A79"/>
    <w:rsid w:val="00E67046"/>
    <w:rsid w:val="00E71FD5"/>
    <w:rsid w:val="00E752ED"/>
    <w:rsid w:val="00E8482D"/>
    <w:rsid w:val="00E85164"/>
    <w:rsid w:val="00E86257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76EDE"/>
    <w:rsid w:val="00F8127F"/>
    <w:rsid w:val="00F82EC3"/>
    <w:rsid w:val="00F94882"/>
    <w:rsid w:val="00F958DD"/>
    <w:rsid w:val="00F95A26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D5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quote.org/wiki/%D0%99%D0%BE%D0%B3%D0%B8_%D0%91%D0%B5%D1%80%D1%80%D0%B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://baguzin.ru/wp/?p=34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guzin.ru/wp/?p=229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guzin.ru/wp/put-menedzhera-kniga/" TargetMode="External"/><Relationship Id="rId17" Type="http://schemas.openxmlformats.org/officeDocument/2006/relationships/hyperlink" Target="http://ru.wikipedia.org/wiki/%D0%92%D0%BE%D0%BB%D0%B0%D1%82%D0%B8%D0%BB%D1%8C%D0%BD%D0%BE%D1%81%D1%82%D1%8C" TargetMode="External"/><Relationship Id="rId25" Type="http://schemas.openxmlformats.org/officeDocument/2006/relationships/hyperlink" Target="http://baguzin.ru/wp/?p=346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3009" TargetMode="External"/><Relationship Id="rId24" Type="http://schemas.openxmlformats.org/officeDocument/2006/relationships/hyperlink" Target="http://baguzin.ru/wp/?p=25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baguzin.ru/wp/?p=876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baguzin.ru/wp/?p=3560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baguzin.ru/wp/?p=3628" TargetMode="External"/><Relationship Id="rId27" Type="http://schemas.openxmlformats.org/officeDocument/2006/relationships/hyperlink" Target="http://baguzin.ru/wp/?p=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FD00-4DE9-4762-9EC5-20C01D4C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2020-08-16T09:25:00Z</cp:lastPrinted>
  <dcterms:created xsi:type="dcterms:W3CDTF">2020-08-16T09:22:00Z</dcterms:created>
  <dcterms:modified xsi:type="dcterms:W3CDTF">2020-08-16T12:41:00Z</dcterms:modified>
</cp:coreProperties>
</file>